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4E" w:rsidRDefault="009C704E" w:rsidP="005160A3">
      <w:pPr>
        <w:pStyle w:val="Sangradetextonormal"/>
        <w:jc w:val="center"/>
        <w:outlineLvl w:val="0"/>
        <w:rPr>
          <w:rFonts w:ascii="Soberana Sans" w:hAnsi="Soberana Sans"/>
          <w:b/>
          <w:sz w:val="18"/>
          <w:szCs w:val="18"/>
        </w:rPr>
      </w:pPr>
    </w:p>
    <w:p w:rsidR="00765CF0" w:rsidRPr="004A5363" w:rsidRDefault="00765CF0" w:rsidP="00765CF0">
      <w:pPr>
        <w:pStyle w:val="ANOTACION0"/>
        <w:spacing w:line="238" w:lineRule="exact"/>
        <w:rPr>
          <w:rFonts w:ascii="Soberana Sans" w:hAnsi="Soberana Sans" w:cs="Arial"/>
        </w:rPr>
      </w:pPr>
      <w:r w:rsidRPr="004A5363">
        <w:rPr>
          <w:rFonts w:ascii="Soberana Sans" w:hAnsi="Soberana Sans" w:cs="Arial"/>
        </w:rPr>
        <w:t>Modificación al Anexo 3 de la Resolución Miscelánea Fiscal para 201</w:t>
      </w:r>
      <w:r>
        <w:rPr>
          <w:rFonts w:ascii="Soberana Sans" w:hAnsi="Soberana Sans" w:cs="Arial"/>
        </w:rPr>
        <w:t>7</w:t>
      </w:r>
    </w:p>
    <w:p w:rsidR="00765CF0" w:rsidRDefault="00765CF0" w:rsidP="00765CF0">
      <w:pPr>
        <w:pStyle w:val="Texto0"/>
        <w:spacing w:line="238" w:lineRule="exact"/>
        <w:jc w:val="center"/>
        <w:rPr>
          <w:rFonts w:ascii="Soberana Sans" w:hAnsi="Soberana Sans"/>
          <w:b/>
        </w:rPr>
      </w:pPr>
      <w:r w:rsidRPr="004A5363">
        <w:rPr>
          <w:rFonts w:ascii="Soberana Sans" w:hAnsi="Soberana Sans"/>
          <w:b/>
        </w:rPr>
        <w:t>CRITERIOS NO VINCULATIVO</w:t>
      </w:r>
      <w:r>
        <w:rPr>
          <w:rFonts w:ascii="Soberana Sans" w:hAnsi="Soberana Sans"/>
          <w:b/>
        </w:rPr>
        <w:t>S DE LAS DISPOSICIONES FISCALES</w:t>
      </w:r>
    </w:p>
    <w:p w:rsidR="00765CF0" w:rsidRPr="008D1291" w:rsidRDefault="00765CF0" w:rsidP="00765CF0">
      <w:pPr>
        <w:pStyle w:val="Texto0"/>
        <w:spacing w:line="238" w:lineRule="exact"/>
        <w:jc w:val="left"/>
        <w:rPr>
          <w:rFonts w:ascii="Soberana Sans" w:hAnsi="Soberana Sans"/>
          <w:b/>
        </w:rPr>
      </w:pPr>
    </w:p>
    <w:p w:rsidR="00765CF0" w:rsidRPr="00F66735" w:rsidRDefault="00765CF0" w:rsidP="00765CF0">
      <w:pPr>
        <w:pStyle w:val="Texto0"/>
        <w:spacing w:line="238" w:lineRule="exact"/>
        <w:ind w:firstLine="0"/>
        <w:rPr>
          <w:rFonts w:ascii="Soberana Sans" w:hAnsi="Soberana Sans"/>
        </w:rPr>
      </w:pPr>
      <w:r w:rsidRPr="007650D2">
        <w:rPr>
          <w:rFonts w:ascii="Soberana Sans" w:hAnsi="Soberana Sans"/>
          <w:b/>
          <w:szCs w:val="18"/>
          <w:lang w:val="es-ES_tradnl"/>
        </w:rPr>
        <w:t xml:space="preserve">PRIMERO. </w:t>
      </w:r>
      <w:r w:rsidRPr="007650D2">
        <w:rPr>
          <w:rFonts w:ascii="Soberana Sans" w:hAnsi="Soberana Sans"/>
          <w:szCs w:val="18"/>
          <w:lang w:val="es-ES_tradnl"/>
        </w:rPr>
        <w:t xml:space="preserve">De conformidad </w:t>
      </w:r>
      <w:r>
        <w:rPr>
          <w:rFonts w:ascii="Soberana Sans" w:hAnsi="Soberana Sans"/>
          <w:szCs w:val="18"/>
          <w:lang w:val="es-ES_tradnl"/>
        </w:rPr>
        <w:t>con el</w:t>
      </w:r>
      <w:r w:rsidRPr="007650D2">
        <w:rPr>
          <w:rFonts w:ascii="Soberana Sans" w:hAnsi="Soberana Sans"/>
          <w:szCs w:val="18"/>
          <w:lang w:val="es-ES_tradnl"/>
        </w:rPr>
        <w:t xml:space="preserve"> artículo 33, </w:t>
      </w:r>
      <w:r>
        <w:rPr>
          <w:rFonts w:ascii="Soberana Sans" w:hAnsi="Soberana Sans"/>
          <w:szCs w:val="18"/>
          <w:lang w:val="es-ES_tradnl"/>
        </w:rPr>
        <w:t>fracción I, inciso h)</w:t>
      </w:r>
      <w:r w:rsidRPr="007650D2">
        <w:rPr>
          <w:rFonts w:ascii="Soberana Sans" w:hAnsi="Soberana Sans"/>
          <w:szCs w:val="18"/>
          <w:lang w:val="es-ES_tradnl"/>
        </w:rPr>
        <w:t xml:space="preserve"> del CFF, en relación con la regla 1.9., fracción </w:t>
      </w:r>
      <w:r>
        <w:rPr>
          <w:rFonts w:ascii="Soberana Sans" w:hAnsi="Soberana Sans"/>
          <w:szCs w:val="18"/>
          <w:lang w:val="es-ES_tradnl"/>
        </w:rPr>
        <w:t>IV</w:t>
      </w:r>
      <w:r w:rsidRPr="007650D2">
        <w:rPr>
          <w:rFonts w:ascii="Soberana Sans" w:hAnsi="Soberana Sans"/>
          <w:szCs w:val="18"/>
          <w:lang w:val="es-ES_tradnl"/>
        </w:rPr>
        <w:t xml:space="preserve"> de la RMF 201</w:t>
      </w:r>
      <w:r>
        <w:rPr>
          <w:rFonts w:ascii="Soberana Sans" w:hAnsi="Soberana Sans"/>
          <w:szCs w:val="18"/>
          <w:lang w:val="es-ES_tradnl"/>
        </w:rPr>
        <w:t>7</w:t>
      </w:r>
      <w:r w:rsidRPr="007650D2">
        <w:rPr>
          <w:rFonts w:ascii="Soberana Sans" w:hAnsi="Soberana Sans"/>
          <w:szCs w:val="18"/>
          <w:lang w:val="es-ES_tradnl"/>
        </w:rPr>
        <w:t xml:space="preserve">, se dan a conocer los criterios </w:t>
      </w:r>
      <w:r>
        <w:rPr>
          <w:rFonts w:ascii="Soberana Sans" w:hAnsi="Soberana Sans"/>
          <w:szCs w:val="18"/>
          <w:lang w:val="es-ES_tradnl"/>
        </w:rPr>
        <w:t>no vinculativos</w:t>
      </w:r>
      <w:r w:rsidRPr="007650D2">
        <w:rPr>
          <w:rFonts w:ascii="Soberana Sans" w:hAnsi="Soberana Sans"/>
          <w:szCs w:val="18"/>
          <w:lang w:val="es-ES_tradnl"/>
        </w:rPr>
        <w:t xml:space="preserve"> </w:t>
      </w:r>
      <w:r>
        <w:rPr>
          <w:rFonts w:ascii="Soberana Sans" w:hAnsi="Soberana Sans"/>
          <w:szCs w:val="18"/>
          <w:lang w:val="es-ES_tradnl"/>
        </w:rPr>
        <w:t xml:space="preserve">de las disposiciones fiscales </w:t>
      </w:r>
      <w:r w:rsidRPr="007650D2">
        <w:rPr>
          <w:rFonts w:ascii="Soberana Sans" w:hAnsi="Soberana Sans"/>
          <w:szCs w:val="18"/>
          <w:lang w:val="es-ES_tradnl"/>
        </w:rPr>
        <w:t>conforme a lo siguiente:</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343"/>
      </w:tblGrid>
      <w:tr w:rsidR="00765CF0" w:rsidRPr="004A5363" w:rsidTr="0064362A">
        <w:trPr>
          <w:trHeight w:val="20"/>
        </w:trPr>
        <w:tc>
          <w:tcPr>
            <w:tcW w:w="5000" w:type="pct"/>
            <w:shd w:val="clear" w:color="auto" w:fill="D9D9D9" w:themeFill="background1" w:themeFillShade="D9"/>
          </w:tcPr>
          <w:p w:rsidR="00765CF0" w:rsidRPr="004A5363" w:rsidRDefault="00765CF0" w:rsidP="0091486F">
            <w:pPr>
              <w:pStyle w:val="Texto0"/>
              <w:spacing w:line="238" w:lineRule="exact"/>
              <w:ind w:firstLine="0"/>
              <w:jc w:val="center"/>
              <w:rPr>
                <w:rFonts w:ascii="Soberana Sans" w:hAnsi="Soberana Sans"/>
                <w:b/>
                <w:noProof/>
                <w:szCs w:val="18"/>
              </w:rPr>
            </w:pPr>
            <w:r w:rsidRPr="004A5363">
              <w:rPr>
                <w:rFonts w:ascii="Soberana Sans" w:hAnsi="Soberana Sans"/>
                <w:b/>
                <w:noProof/>
                <w:szCs w:val="18"/>
              </w:rPr>
              <w:t>Contenido</w:t>
            </w:r>
          </w:p>
        </w:tc>
      </w:tr>
      <w:tr w:rsidR="00765CF0" w:rsidRPr="004A5363" w:rsidTr="0064362A">
        <w:trPr>
          <w:trHeight w:val="20"/>
        </w:trPr>
        <w:tc>
          <w:tcPr>
            <w:tcW w:w="5000" w:type="pct"/>
          </w:tcPr>
          <w:p w:rsidR="00765CF0" w:rsidRPr="004A5363" w:rsidRDefault="00765CF0" w:rsidP="0091486F">
            <w:pPr>
              <w:pStyle w:val="Texto0"/>
              <w:spacing w:line="238" w:lineRule="exact"/>
              <w:ind w:firstLine="0"/>
              <w:rPr>
                <w:rFonts w:ascii="Soberana Sans" w:hAnsi="Soberana Sans"/>
                <w:b/>
                <w:szCs w:val="18"/>
              </w:rPr>
            </w:pPr>
            <w:r w:rsidRPr="004A5363">
              <w:rPr>
                <w:rFonts w:ascii="Soberana Sans" w:hAnsi="Soberana Sans"/>
                <w:b/>
                <w:szCs w:val="18"/>
              </w:rPr>
              <w:t>APARTADOS:</w:t>
            </w:r>
          </w:p>
        </w:tc>
      </w:tr>
      <w:tr w:rsidR="00765CF0" w:rsidRPr="00432DCD" w:rsidTr="0064362A">
        <w:trPr>
          <w:trHeight w:val="20"/>
        </w:trPr>
        <w:tc>
          <w:tcPr>
            <w:tcW w:w="5000" w:type="pct"/>
          </w:tcPr>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765CF0" w:rsidRPr="004A5363" w:rsidRDefault="00765CF0" w:rsidP="0091486F">
            <w:pPr>
              <w:pStyle w:val="Texto0"/>
              <w:spacing w:line="238" w:lineRule="exact"/>
              <w:ind w:firstLine="0"/>
              <w:jc w:val="center"/>
              <w:rPr>
                <w:rFonts w:ascii="Soberana Sans" w:hAnsi="Soberana Sans"/>
                <w:b/>
                <w:szCs w:val="18"/>
              </w:rPr>
            </w:pPr>
          </w:p>
          <w:p w:rsidR="00765CF0" w:rsidRDefault="00765CF0" w:rsidP="0091486F">
            <w:pPr>
              <w:pStyle w:val="Texto0"/>
              <w:spacing w:line="238" w:lineRule="exact"/>
              <w:ind w:firstLine="0"/>
              <w:rPr>
                <w:rFonts w:ascii="Soberana Sans" w:hAnsi="Soberana Sans"/>
                <w:szCs w:val="18"/>
              </w:rPr>
            </w:pPr>
            <w:r w:rsidRPr="004A5363">
              <w:rPr>
                <w:rFonts w:ascii="Soberana Sans" w:hAnsi="Soberana Sans"/>
                <w:b/>
                <w:szCs w:val="18"/>
              </w:rPr>
              <w:t xml:space="preserve">1/CFF/NV </w:t>
            </w:r>
            <w:r w:rsidRPr="004A5363">
              <w:rPr>
                <w:rFonts w:ascii="Soberana Sans" w:hAnsi="Soberana Sans"/>
                <w:szCs w:val="18"/>
              </w:rPr>
              <w:tab/>
              <w:t>………………………………………………………………………………………………………</w:t>
            </w:r>
            <w:r>
              <w:rPr>
                <w:rFonts w:ascii="Soberana Sans" w:hAnsi="Soberana Sans"/>
                <w:szCs w:val="18"/>
              </w:rPr>
              <w:t>………………………………….……………………………</w:t>
            </w:r>
          </w:p>
          <w:p w:rsidR="00765CF0" w:rsidRPr="004A5363" w:rsidRDefault="00765CF0" w:rsidP="0091486F">
            <w:pPr>
              <w:pStyle w:val="Texto0"/>
              <w:spacing w:line="238" w:lineRule="exact"/>
              <w:ind w:firstLine="0"/>
              <w:rPr>
                <w:rFonts w:ascii="Soberana Sans" w:hAnsi="Soberana Sans"/>
                <w:b/>
                <w:szCs w:val="18"/>
              </w:rPr>
            </w:pPr>
          </w:p>
          <w:p w:rsidR="00765CF0" w:rsidRPr="004A5363" w:rsidRDefault="00765CF0" w:rsidP="0091486F">
            <w:pPr>
              <w:pStyle w:val="Texto0"/>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765CF0" w:rsidRPr="004B45D8" w:rsidRDefault="00765CF0" w:rsidP="0091486F">
            <w:pPr>
              <w:pStyle w:val="Texto0"/>
              <w:spacing w:line="238" w:lineRule="exact"/>
              <w:ind w:firstLine="0"/>
              <w:rPr>
                <w:rFonts w:ascii="Soberana Sans" w:hAnsi="Soberana Sans"/>
                <w:szCs w:val="18"/>
              </w:rPr>
            </w:pPr>
            <w:r w:rsidRPr="004A5363">
              <w:rPr>
                <w:rFonts w:ascii="Soberana Sans" w:hAnsi="Soberana Sans"/>
                <w:b/>
                <w:szCs w:val="18"/>
              </w:rPr>
              <w:t>1/ISR/NV a</w:t>
            </w:r>
            <w:r w:rsidR="004B45D8">
              <w:rPr>
                <w:rFonts w:ascii="Soberana Sans" w:hAnsi="Soberana Sans"/>
                <w:szCs w:val="18"/>
              </w:rPr>
              <w:tab/>
              <w:t>……………………………………………………………………………………………………………………………………………………………………….</w:t>
            </w:r>
          </w:p>
          <w:p w:rsidR="00765CF0" w:rsidRPr="00765CF0" w:rsidRDefault="00765CF0" w:rsidP="0091486F">
            <w:pPr>
              <w:pStyle w:val="Texto0"/>
              <w:spacing w:line="238" w:lineRule="exact"/>
              <w:ind w:left="990" w:hanging="990"/>
              <w:rPr>
                <w:rFonts w:ascii="Soberana Sans" w:hAnsi="Soberana Sans"/>
                <w:szCs w:val="18"/>
              </w:rPr>
            </w:pPr>
            <w:r>
              <w:rPr>
                <w:rFonts w:ascii="Soberana Sans" w:hAnsi="Soberana Sans"/>
                <w:b/>
                <w:szCs w:val="18"/>
              </w:rPr>
              <w:t>32</w:t>
            </w:r>
            <w:r w:rsidRPr="004A5363">
              <w:rPr>
                <w:rFonts w:ascii="Soberana Sans" w:hAnsi="Soberana Sans"/>
                <w:b/>
                <w:szCs w:val="18"/>
              </w:rPr>
              <w:t>/ISR/NV</w:t>
            </w:r>
            <w:r w:rsidRPr="004A5363">
              <w:rPr>
                <w:rFonts w:ascii="Soberana Sans" w:hAnsi="Soberana Sans"/>
                <w:szCs w:val="18"/>
              </w:rPr>
              <w:tab/>
            </w:r>
            <w:r>
              <w:rPr>
                <w:rFonts w:ascii="Soberana Sans" w:hAnsi="Soberana Sans"/>
                <w:szCs w:val="18"/>
              </w:rPr>
              <w:t>………</w:t>
            </w:r>
            <w:r w:rsidRPr="002D2965">
              <w:rPr>
                <w:rFonts w:ascii="Soberana Sans" w:hAnsi="Soberana Sans"/>
                <w:szCs w:val="18"/>
              </w:rPr>
              <w:t>……………………………………………………………………………………………………</w:t>
            </w:r>
            <w:r>
              <w:rPr>
                <w:rFonts w:ascii="Soberana Sans" w:hAnsi="Soberana Sans"/>
                <w:szCs w:val="18"/>
              </w:rPr>
              <w:t>……………………………..</w:t>
            </w:r>
            <w:r w:rsidRPr="002D2965">
              <w:rPr>
                <w:rFonts w:ascii="Soberana Sans" w:hAnsi="Soberana Sans"/>
                <w:szCs w:val="18"/>
              </w:rPr>
              <w:t>…</w:t>
            </w:r>
            <w:r>
              <w:rPr>
                <w:rFonts w:ascii="Soberana Sans" w:hAnsi="Soberana Sans"/>
                <w:szCs w:val="18"/>
              </w:rPr>
              <w:t>…</w:t>
            </w:r>
            <w:r w:rsidRPr="002D2965">
              <w:rPr>
                <w:rFonts w:ascii="Soberana Sans" w:hAnsi="Soberana Sans"/>
                <w:szCs w:val="18"/>
              </w:rPr>
              <w:t>…………</w:t>
            </w:r>
            <w:r>
              <w:rPr>
                <w:rFonts w:ascii="Soberana Sans" w:hAnsi="Soberana Sans"/>
                <w:szCs w:val="18"/>
              </w:rPr>
              <w:t>………….</w:t>
            </w:r>
          </w:p>
          <w:p w:rsidR="00765CF0" w:rsidRDefault="00765CF0" w:rsidP="0091486F">
            <w:pPr>
              <w:pStyle w:val="Texto0"/>
              <w:spacing w:line="238" w:lineRule="exact"/>
              <w:ind w:left="990" w:hanging="990"/>
              <w:rPr>
                <w:rFonts w:ascii="Soberana Sans" w:hAnsi="Soberana Sans"/>
                <w:szCs w:val="18"/>
              </w:rPr>
            </w:pPr>
            <w:r>
              <w:rPr>
                <w:rFonts w:ascii="Soberana Sans" w:hAnsi="Soberana Sans"/>
                <w:b/>
                <w:szCs w:val="18"/>
              </w:rPr>
              <w:t>33/ISR/NV</w:t>
            </w:r>
            <w:r w:rsidRPr="004A5363">
              <w:rPr>
                <w:rFonts w:ascii="Soberana Sans" w:hAnsi="Soberana Sans"/>
                <w:szCs w:val="18"/>
              </w:rPr>
              <w:tab/>
            </w:r>
            <w:r w:rsidRPr="005064E6">
              <w:rPr>
                <w:rFonts w:ascii="Soberana Sans" w:hAnsi="Soberana Sans"/>
                <w:szCs w:val="18"/>
              </w:rPr>
              <w:t>Deducción de bienes de activo fijo objeto de un contrato de arrendamiento financiero.</w:t>
            </w:r>
          </w:p>
          <w:p w:rsidR="00785A34" w:rsidRPr="006A738A" w:rsidRDefault="00785A34" w:rsidP="00403C2F">
            <w:pPr>
              <w:pStyle w:val="Texto0"/>
              <w:spacing w:line="238" w:lineRule="exact"/>
              <w:ind w:left="1418" w:hanging="1418"/>
              <w:rPr>
                <w:rFonts w:ascii="Soberana Sans" w:hAnsi="Soberana Sans"/>
                <w:szCs w:val="18"/>
              </w:rPr>
            </w:pPr>
            <w:r>
              <w:rPr>
                <w:rFonts w:ascii="Soberana Sans" w:hAnsi="Soberana Sans"/>
                <w:b/>
                <w:szCs w:val="18"/>
              </w:rPr>
              <w:t>34/ISR/NV</w:t>
            </w:r>
            <w:r>
              <w:rPr>
                <w:rFonts w:ascii="Soberana Sans" w:hAnsi="Soberana Sans"/>
                <w:b/>
                <w:szCs w:val="18"/>
              </w:rPr>
              <w:tab/>
            </w:r>
            <w:r w:rsidRPr="006A738A">
              <w:rPr>
                <w:rFonts w:ascii="Soberana Sans" w:hAnsi="Soberana Sans"/>
                <w:szCs w:val="18"/>
              </w:rPr>
              <w:t>Derechos federativos de los deportistas. Su adquisición constituye una inversión en la modalidad de gasto diferido</w:t>
            </w:r>
            <w:r>
              <w:rPr>
                <w:rFonts w:ascii="Soberana Sans" w:hAnsi="Soberana Sans"/>
                <w:szCs w:val="18"/>
              </w:rPr>
              <w:t>.</w:t>
            </w:r>
          </w:p>
          <w:p w:rsidR="00765CF0" w:rsidRPr="005064E6" w:rsidRDefault="00765CF0" w:rsidP="0091486F">
            <w:pPr>
              <w:pStyle w:val="Texto0"/>
              <w:spacing w:line="238" w:lineRule="exact"/>
              <w:ind w:left="1296" w:hanging="1296"/>
              <w:rPr>
                <w:rFonts w:ascii="Soberana Sans" w:hAnsi="Soberana Sans"/>
                <w:b/>
                <w:szCs w:val="18"/>
              </w:rPr>
            </w:pPr>
          </w:p>
          <w:p w:rsidR="00765CF0" w:rsidRPr="004A5363" w:rsidRDefault="00765CF0" w:rsidP="0091486F">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765CF0" w:rsidRPr="004B45D8" w:rsidRDefault="00765CF0" w:rsidP="0091486F">
            <w:pPr>
              <w:pStyle w:val="Texto0"/>
              <w:spacing w:line="238" w:lineRule="exact"/>
              <w:ind w:firstLine="0"/>
              <w:rPr>
                <w:rFonts w:ascii="Soberana Sans" w:hAnsi="Soberana Sans"/>
                <w:szCs w:val="18"/>
                <w:lang w:val="pt-BR"/>
              </w:rPr>
            </w:pPr>
            <w:r w:rsidRPr="00AE694E">
              <w:rPr>
                <w:rFonts w:ascii="Soberana Sans" w:hAnsi="Soberana Sans"/>
                <w:b/>
                <w:szCs w:val="18"/>
                <w:lang w:val="pt-BR"/>
              </w:rPr>
              <w:t>1/IVA/NV a</w:t>
            </w:r>
            <w:r w:rsidR="004B45D8">
              <w:rPr>
                <w:rFonts w:ascii="Soberana Sans" w:hAnsi="Soberana Sans"/>
                <w:b/>
                <w:szCs w:val="18"/>
                <w:lang w:val="pt-BR"/>
              </w:rPr>
              <w:tab/>
            </w:r>
            <w:r w:rsidR="004B45D8">
              <w:rPr>
                <w:rFonts w:ascii="Soberana Sans" w:hAnsi="Soberana Sans"/>
                <w:szCs w:val="18"/>
                <w:lang w:val="pt-BR"/>
              </w:rPr>
              <w:t>.................................................................................................................................................................................</w:t>
            </w:r>
          </w:p>
          <w:p w:rsidR="00765CF0" w:rsidRPr="00765CF0" w:rsidRDefault="00765CF0" w:rsidP="004B45D8">
            <w:pPr>
              <w:pStyle w:val="Texto0"/>
              <w:spacing w:line="238" w:lineRule="exact"/>
              <w:ind w:left="1418" w:hanging="1418"/>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Pr>
                <w:rFonts w:ascii="Soberana Sans" w:hAnsi="Soberana Sans"/>
                <w:szCs w:val="18"/>
                <w:lang w:val="pt-BR"/>
              </w:rPr>
              <w:t>.............</w:t>
            </w:r>
            <w:r w:rsidR="004B45D8">
              <w:rPr>
                <w:rFonts w:ascii="Soberana Sans" w:hAnsi="Soberana Sans"/>
                <w:szCs w:val="18"/>
                <w:lang w:val="pt-BR"/>
              </w:rPr>
              <w:t>..............................</w:t>
            </w:r>
            <w:r>
              <w:rPr>
                <w:rFonts w:ascii="Soberana Sans" w:hAnsi="Soberana Sans"/>
                <w:szCs w:val="18"/>
                <w:lang w:val="pt-BR"/>
              </w:rPr>
              <w:t>......................................................................................................................................</w:t>
            </w:r>
          </w:p>
          <w:p w:rsidR="00765CF0" w:rsidRPr="00AE694E" w:rsidRDefault="00765CF0" w:rsidP="0091486F">
            <w:pPr>
              <w:pStyle w:val="Texto0"/>
              <w:spacing w:line="238" w:lineRule="exact"/>
              <w:ind w:left="1296" w:hanging="1296"/>
              <w:rPr>
                <w:rFonts w:ascii="Soberana Sans" w:hAnsi="Soberana Sans"/>
                <w:b/>
                <w:szCs w:val="18"/>
                <w:lang w:val="pt-BR"/>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765CF0" w:rsidRPr="00765CF0" w:rsidRDefault="00765CF0" w:rsidP="0091486F">
            <w:pPr>
              <w:pStyle w:val="Texto0"/>
              <w:spacing w:line="238" w:lineRule="exact"/>
              <w:ind w:firstLine="0"/>
              <w:rPr>
                <w:rFonts w:ascii="Soberana Sans" w:hAnsi="Soberana Sans"/>
                <w:szCs w:val="18"/>
              </w:rPr>
            </w:pPr>
            <w:r w:rsidRPr="00834063">
              <w:rPr>
                <w:rFonts w:ascii="Soberana Sans" w:hAnsi="Soberana Sans"/>
                <w:b/>
                <w:szCs w:val="18"/>
              </w:rPr>
              <w:t>1/IEPS/NV a</w:t>
            </w:r>
            <w:r>
              <w:rPr>
                <w:rFonts w:ascii="Soberana Sans" w:hAnsi="Soberana Sans"/>
                <w:b/>
                <w:szCs w:val="18"/>
              </w:rPr>
              <w:tab/>
            </w:r>
            <w:r w:rsidRPr="009F4C36">
              <w:rPr>
                <w:rFonts w:ascii="Soberana Sans" w:hAnsi="Soberana Sans"/>
                <w:szCs w:val="18"/>
              </w:rPr>
              <w:t>……………………………………………………………………………………………………………………</w:t>
            </w:r>
            <w:r>
              <w:rPr>
                <w:rFonts w:ascii="Soberana Sans" w:hAnsi="Soberana Sans"/>
                <w:szCs w:val="18"/>
              </w:rPr>
              <w:t>......................................................</w:t>
            </w:r>
          </w:p>
          <w:p w:rsidR="00765CF0" w:rsidRPr="004B45D8" w:rsidRDefault="00765CF0" w:rsidP="004B45D8">
            <w:pPr>
              <w:pStyle w:val="Texto0"/>
              <w:tabs>
                <w:tab w:val="right" w:leader="dot" w:pos="8568"/>
              </w:tabs>
              <w:spacing w:line="238" w:lineRule="exact"/>
              <w:ind w:left="1418" w:hanging="1418"/>
              <w:rPr>
                <w:rFonts w:ascii="Soberana Sans" w:hAnsi="Soberana Sans"/>
                <w:szCs w:val="18"/>
              </w:rPr>
            </w:pPr>
            <w:r>
              <w:rPr>
                <w:rFonts w:ascii="Soberana Sans" w:hAnsi="Soberana Sans"/>
                <w:b/>
                <w:szCs w:val="18"/>
              </w:rPr>
              <w:t>5</w:t>
            </w:r>
            <w:r w:rsidRPr="00834063">
              <w:rPr>
                <w:rFonts w:ascii="Soberana Sans" w:hAnsi="Soberana Sans"/>
                <w:b/>
                <w:szCs w:val="18"/>
              </w:rPr>
              <w:t>/IEPS/NV</w:t>
            </w:r>
            <w:r w:rsidR="004B45D8">
              <w:rPr>
                <w:rFonts w:ascii="Soberana Sans" w:hAnsi="Soberana Sans"/>
                <w:b/>
                <w:szCs w:val="18"/>
              </w:rPr>
              <w:tab/>
            </w:r>
            <w:r w:rsidR="004B45D8">
              <w:rPr>
                <w:rFonts w:ascii="Soberana Sans" w:hAnsi="Soberana Sans"/>
                <w:szCs w:val="18"/>
              </w:rPr>
              <w:t>……………………………………………………………………………………………………………………………………………………………………….</w:t>
            </w:r>
          </w:p>
          <w:p w:rsidR="00765CF0" w:rsidRPr="00834063" w:rsidRDefault="00765CF0" w:rsidP="0091486F">
            <w:pPr>
              <w:pStyle w:val="Texto0"/>
              <w:tabs>
                <w:tab w:val="right" w:leader="dot" w:pos="8568"/>
              </w:tabs>
              <w:spacing w:line="238" w:lineRule="exact"/>
              <w:ind w:left="1296" w:hanging="1296"/>
              <w:rPr>
                <w:rFonts w:ascii="Soberana Sans" w:hAnsi="Soberana Sans"/>
                <w:b/>
                <w:szCs w:val="18"/>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765CF0" w:rsidRDefault="00765CF0" w:rsidP="0091486F">
            <w:pPr>
              <w:pStyle w:val="Texto0"/>
              <w:tabs>
                <w:tab w:val="right" w:leader="dot" w:pos="8568"/>
              </w:tabs>
              <w:spacing w:line="238" w:lineRule="exact"/>
              <w:ind w:left="1296" w:hanging="1296"/>
              <w:rPr>
                <w:rFonts w:ascii="Soberana Sans" w:hAnsi="Soberana Sans"/>
                <w:b/>
                <w:szCs w:val="18"/>
              </w:rPr>
            </w:pPr>
          </w:p>
          <w:p w:rsidR="00765CF0" w:rsidRDefault="00765CF0" w:rsidP="0091486F">
            <w:pPr>
              <w:pStyle w:val="Texto0"/>
              <w:tabs>
                <w:tab w:val="right" w:leader="dot" w:pos="8568"/>
              </w:tabs>
              <w:spacing w:line="238" w:lineRule="exact"/>
              <w:ind w:left="1296" w:hanging="1296"/>
              <w:rPr>
                <w:rFonts w:ascii="Soberana Sans" w:hAnsi="Soberana Sans"/>
                <w:szCs w:val="18"/>
              </w:rPr>
            </w:pPr>
            <w:r w:rsidRPr="004A5363">
              <w:rPr>
                <w:rFonts w:ascii="Soberana Sans" w:hAnsi="Soberana Sans"/>
                <w:b/>
                <w:szCs w:val="18"/>
              </w:rPr>
              <w:t>1/LIGIE/NV</w:t>
            </w:r>
            <w:r w:rsidRPr="004A5363">
              <w:rPr>
                <w:rFonts w:ascii="Soberana Sans" w:hAnsi="Soberana Sans"/>
                <w:szCs w:val="18"/>
              </w:rPr>
              <w:tab/>
            </w:r>
            <w:r>
              <w:rPr>
                <w:rFonts w:ascii="Soberana Sans" w:hAnsi="Soberana Sans"/>
                <w:szCs w:val="18"/>
              </w:rPr>
              <w:t>………………………………………………………………………………………………………………………………………………………………………….</w:t>
            </w:r>
          </w:p>
          <w:p w:rsidR="00765CF0" w:rsidRPr="006A4B15" w:rsidRDefault="00765CF0" w:rsidP="0091486F">
            <w:pPr>
              <w:pStyle w:val="Texto0"/>
              <w:tabs>
                <w:tab w:val="right" w:leader="dot" w:pos="8568"/>
              </w:tabs>
              <w:spacing w:line="238" w:lineRule="exact"/>
              <w:ind w:left="1296" w:hanging="1296"/>
              <w:rPr>
                <w:rFonts w:ascii="Soberana Sans" w:hAnsi="Soberana Sans"/>
                <w:b/>
                <w:szCs w:val="18"/>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765CF0" w:rsidRPr="004B45D8" w:rsidRDefault="00765CF0" w:rsidP="0091486F">
            <w:pPr>
              <w:pStyle w:val="Texto0"/>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4B45D8">
              <w:rPr>
                <w:rFonts w:ascii="Soberana Sans" w:hAnsi="Soberana Sans"/>
                <w:b/>
                <w:szCs w:val="18"/>
                <w:lang w:val="en-US"/>
              </w:rPr>
              <w:tab/>
            </w:r>
            <w:r w:rsidR="004B45D8">
              <w:rPr>
                <w:rFonts w:ascii="Soberana Sans" w:hAnsi="Soberana Sans"/>
                <w:szCs w:val="18"/>
                <w:lang w:val="en-US"/>
              </w:rPr>
              <w:t>………………………………………………………………………………………………………………………………………………………………………….</w:t>
            </w:r>
          </w:p>
          <w:p w:rsidR="00765CF0" w:rsidRPr="004A5363" w:rsidRDefault="00765CF0" w:rsidP="00765CF0">
            <w:pPr>
              <w:pStyle w:val="Texto0"/>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765CF0" w:rsidRPr="004A5363" w:rsidRDefault="00765CF0" w:rsidP="0091486F">
            <w:pPr>
              <w:pStyle w:val="Texto0"/>
              <w:tabs>
                <w:tab w:val="right" w:leader="dot" w:pos="8568"/>
              </w:tabs>
              <w:spacing w:line="238" w:lineRule="exact"/>
              <w:ind w:left="1296" w:hanging="1296"/>
              <w:rPr>
                <w:rFonts w:ascii="Soberana Sans" w:hAnsi="Soberana Sans"/>
                <w:szCs w:val="18"/>
                <w:lang w:val="en-US"/>
              </w:rPr>
            </w:pPr>
          </w:p>
        </w:tc>
      </w:tr>
    </w:tbl>
    <w:p w:rsidR="00765CF0" w:rsidRDefault="00765CF0" w:rsidP="00765CF0">
      <w:pPr>
        <w:pStyle w:val="Texto0"/>
        <w:spacing w:line="238" w:lineRule="exact"/>
        <w:ind w:firstLine="0"/>
        <w:jc w:val="center"/>
        <w:rPr>
          <w:rFonts w:ascii="Soberana Sans" w:hAnsi="Soberana Sans"/>
          <w:b/>
          <w:szCs w:val="18"/>
          <w:lang w:val="en-US"/>
        </w:rPr>
      </w:pPr>
    </w:p>
    <w:p w:rsidR="00765CF0" w:rsidRDefault="00765CF0" w:rsidP="00C37601">
      <w:pPr>
        <w:tabs>
          <w:tab w:val="left" w:pos="5393"/>
        </w:tabs>
        <w:spacing w:after="200" w:line="276" w:lineRule="auto"/>
        <w:rPr>
          <w:rFonts w:ascii="Soberana Sans" w:hAnsi="Soberana Sans" w:cs="Arial"/>
          <w:b/>
          <w:sz w:val="18"/>
          <w:szCs w:val="18"/>
          <w:lang w:val="en-US"/>
        </w:rPr>
      </w:pPr>
      <w:r>
        <w:rPr>
          <w:rFonts w:ascii="Soberana Sans" w:hAnsi="Soberana Sans"/>
          <w:b/>
          <w:szCs w:val="18"/>
          <w:lang w:val="en-US"/>
        </w:rPr>
        <w:br w:type="page"/>
      </w:r>
      <w:r w:rsidR="00C37601">
        <w:rPr>
          <w:rFonts w:ascii="Soberana Sans" w:hAnsi="Soberana Sans"/>
          <w:b/>
          <w:szCs w:val="18"/>
          <w:lang w:val="en-US"/>
        </w:rPr>
        <w:lastRenderedPageBreak/>
        <w:tab/>
      </w: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765CF0" w:rsidRPr="00E1402B" w:rsidRDefault="00765CF0" w:rsidP="00765CF0">
      <w:pPr>
        <w:pStyle w:val="Texto0"/>
        <w:spacing w:line="238" w:lineRule="exact"/>
        <w:ind w:right="53" w:firstLine="0"/>
        <w:rPr>
          <w:rFonts w:ascii="Soberana Sans" w:hAnsi="Soberana Sans"/>
          <w:szCs w:val="18"/>
        </w:rPr>
      </w:pPr>
      <w:r w:rsidRPr="004A5363">
        <w:rPr>
          <w:rFonts w:ascii="Soberana Sans" w:hAnsi="Soberana Sans"/>
          <w:b/>
          <w:szCs w:val="18"/>
        </w:rPr>
        <w:t>1/CFF/NV</w:t>
      </w:r>
      <w:r w:rsidRPr="004A5363">
        <w:rPr>
          <w:rFonts w:ascii="Soberana Sans" w:hAnsi="Soberana Sans"/>
          <w:szCs w:val="18"/>
        </w:rPr>
        <w:tab/>
        <w:t>…………………………………………………………………………………………………………</w:t>
      </w:r>
      <w:r>
        <w:rPr>
          <w:rFonts w:ascii="Soberana Sans" w:hAnsi="Soberana Sans"/>
          <w:szCs w:val="18"/>
        </w:rPr>
        <w:t>………………………………………………………………</w:t>
      </w:r>
    </w:p>
    <w:p w:rsidR="00765CF0"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765CF0" w:rsidRPr="004B45D8" w:rsidRDefault="00765CF0" w:rsidP="00765CF0">
      <w:pPr>
        <w:pStyle w:val="Texto0"/>
        <w:spacing w:line="238" w:lineRule="exact"/>
        <w:ind w:firstLine="0"/>
        <w:rPr>
          <w:rFonts w:ascii="Soberana Sans" w:hAnsi="Soberana Sans"/>
          <w:szCs w:val="18"/>
        </w:rPr>
      </w:pPr>
      <w:r w:rsidRPr="004A5363">
        <w:rPr>
          <w:rFonts w:ascii="Soberana Sans" w:hAnsi="Soberana Sans"/>
          <w:b/>
          <w:szCs w:val="18"/>
        </w:rPr>
        <w:t>1/ISR/NV a</w:t>
      </w:r>
      <w:r w:rsidR="004B45D8">
        <w:rPr>
          <w:rFonts w:ascii="Soberana Sans" w:hAnsi="Soberana Sans"/>
          <w:szCs w:val="18"/>
        </w:rPr>
        <w:tab/>
        <w:t>………………………………………………………………………………………………………………………………………………………………………….</w:t>
      </w:r>
    </w:p>
    <w:p w:rsidR="00765CF0" w:rsidRPr="002D2965" w:rsidRDefault="00765CF0" w:rsidP="00765CF0">
      <w:pPr>
        <w:pStyle w:val="Texto0"/>
        <w:spacing w:line="238" w:lineRule="exact"/>
        <w:ind w:firstLine="0"/>
        <w:rPr>
          <w:rFonts w:ascii="Soberana Sans" w:hAnsi="Soberana Sans"/>
          <w:szCs w:val="18"/>
        </w:rPr>
      </w:pPr>
      <w:r>
        <w:rPr>
          <w:rFonts w:ascii="Soberana Sans" w:hAnsi="Soberana Sans"/>
          <w:b/>
          <w:szCs w:val="18"/>
        </w:rPr>
        <w:t>32/ISR/NV</w:t>
      </w:r>
      <w:r w:rsidRPr="004A5363">
        <w:rPr>
          <w:rFonts w:ascii="Soberana Sans" w:hAnsi="Soberana Sans"/>
          <w:szCs w:val="18"/>
        </w:rPr>
        <w:tab/>
        <w:t>…………………………………………………………………………………………………………</w:t>
      </w:r>
      <w:r>
        <w:rPr>
          <w:rFonts w:ascii="Soberana Sans" w:hAnsi="Soberana Sans"/>
          <w:szCs w:val="18"/>
        </w:rPr>
        <w:t>………………………………………..........................</w:t>
      </w:r>
    </w:p>
    <w:p w:rsidR="00403C2F" w:rsidRPr="005064E6" w:rsidRDefault="00403C2F" w:rsidP="00403C2F">
      <w:pPr>
        <w:pStyle w:val="Texto0"/>
        <w:spacing w:after="0" w:line="240" w:lineRule="auto"/>
        <w:ind w:left="1276" w:hanging="1276"/>
        <w:rPr>
          <w:rFonts w:ascii="Soberana Sans" w:hAnsi="Soberana Sans"/>
          <w:b/>
          <w:szCs w:val="18"/>
        </w:rPr>
      </w:pPr>
      <w:r>
        <w:rPr>
          <w:rFonts w:ascii="Soberana Sans" w:hAnsi="Soberana Sans"/>
          <w:b/>
          <w:szCs w:val="18"/>
        </w:rPr>
        <w:t>33/ISR/NV</w:t>
      </w:r>
      <w:r w:rsidRPr="004A5363">
        <w:rPr>
          <w:rFonts w:ascii="Soberana Sans" w:hAnsi="Soberana Sans"/>
          <w:szCs w:val="18"/>
        </w:rPr>
        <w:tab/>
      </w:r>
      <w:r w:rsidRPr="005064E6">
        <w:rPr>
          <w:rFonts w:ascii="Soberana Sans" w:hAnsi="Soberana Sans"/>
          <w:b/>
          <w:szCs w:val="18"/>
        </w:rPr>
        <w:t>Deducción de bienes de activo fijo objeto de un contrato de arrendamiento financiero.</w:t>
      </w:r>
    </w:p>
    <w:p w:rsidR="00403C2F" w:rsidRDefault="00403C2F" w:rsidP="00403C2F">
      <w:pPr>
        <w:pStyle w:val="Texto0"/>
        <w:spacing w:after="0" w:line="240" w:lineRule="auto"/>
        <w:ind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El 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rsidR="00403C2F" w:rsidRPr="00D30124" w:rsidRDefault="00403C2F" w:rsidP="00403C2F">
      <w:pPr>
        <w:pStyle w:val="Texto0"/>
        <w:spacing w:after="0" w:line="240" w:lineRule="auto"/>
        <w:ind w:left="1276"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Al respecto, el artículo 17, fracción III de la Ley de ISR, establece que los contribuyentes que celebren contratos de arrendamiento financiero, pueden optar por considerar como ingreso del ejercicio la parte del precio que es exigible en el mismo.</w:t>
      </w:r>
    </w:p>
    <w:p w:rsidR="00403C2F" w:rsidRPr="00D30124" w:rsidRDefault="00403C2F" w:rsidP="00403C2F">
      <w:pPr>
        <w:pStyle w:val="Texto0"/>
        <w:spacing w:after="0" w:line="240" w:lineRule="auto"/>
        <w:ind w:left="1276"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rsidR="00403C2F" w:rsidRPr="00D30124" w:rsidRDefault="00403C2F" w:rsidP="00403C2F">
      <w:pPr>
        <w:pStyle w:val="Texto0"/>
        <w:spacing w:after="0" w:line="240" w:lineRule="auto"/>
        <w:ind w:left="1276"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 xml:space="preserve">Por 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 </w:t>
      </w:r>
    </w:p>
    <w:p w:rsidR="00403C2F" w:rsidRPr="00D30124" w:rsidRDefault="00403C2F" w:rsidP="00403C2F">
      <w:pPr>
        <w:pStyle w:val="Texto0"/>
        <w:spacing w:after="0" w:line="240" w:lineRule="auto"/>
        <w:ind w:left="1276"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En ese sentido, se considera que realiza una práctica fiscal indebida:</w:t>
      </w:r>
    </w:p>
    <w:p w:rsidR="00403C2F" w:rsidRPr="00D30124" w:rsidRDefault="00403C2F" w:rsidP="00403C2F">
      <w:pPr>
        <w:pStyle w:val="Texto0"/>
        <w:spacing w:after="0" w:line="240" w:lineRule="auto"/>
        <w:ind w:left="1276" w:firstLine="0"/>
        <w:rPr>
          <w:rFonts w:ascii="Soberana Sans" w:hAnsi="Soberana Sans"/>
          <w:szCs w:val="18"/>
        </w:rPr>
      </w:pPr>
    </w:p>
    <w:p w:rsidR="00403C2F" w:rsidRPr="00D30124" w:rsidRDefault="00403C2F" w:rsidP="00403C2F">
      <w:pPr>
        <w:pStyle w:val="Texto0"/>
        <w:spacing w:after="0" w:line="240" w:lineRule="auto"/>
        <w:ind w:left="1276" w:firstLine="0"/>
        <w:rPr>
          <w:rFonts w:ascii="Soberana Sans" w:hAnsi="Soberana Sans"/>
          <w:szCs w:val="18"/>
        </w:rPr>
      </w:pPr>
      <w:r w:rsidRPr="00D30124">
        <w:rPr>
          <w:rFonts w:ascii="Soberana Sans" w:hAnsi="Soberana Sans"/>
          <w:szCs w:val="18"/>
        </w:rPr>
        <w:t>I. 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consistente en acumular como ingreso del ejercicio sólo la parte del precio que es exigible en el mismo.</w:t>
      </w:r>
    </w:p>
    <w:p w:rsidR="00403C2F" w:rsidRPr="00D30124" w:rsidRDefault="00403C2F" w:rsidP="00403C2F">
      <w:pPr>
        <w:pStyle w:val="Texto0"/>
        <w:spacing w:after="0" w:line="240" w:lineRule="auto"/>
        <w:ind w:left="1276" w:firstLine="0"/>
        <w:rPr>
          <w:rFonts w:ascii="Soberana Sans" w:hAnsi="Soberana Sans"/>
          <w:szCs w:val="18"/>
        </w:rPr>
      </w:pPr>
    </w:p>
    <w:p w:rsidR="00403C2F" w:rsidRDefault="00403C2F" w:rsidP="00403C2F">
      <w:pPr>
        <w:pStyle w:val="Texto0"/>
        <w:spacing w:after="0" w:line="240" w:lineRule="auto"/>
        <w:ind w:left="1276" w:firstLine="0"/>
        <w:rPr>
          <w:rFonts w:ascii="Soberana Sans" w:hAnsi="Soberana Sans"/>
          <w:sz w:val="20"/>
        </w:rPr>
      </w:pPr>
      <w:r w:rsidRPr="00D30124">
        <w:rPr>
          <w:rFonts w:ascii="Soberana Sans" w:hAnsi="Soberana Sans"/>
          <w:szCs w:val="18"/>
        </w:rPr>
        <w:t>II. Quien asesore, aconseje, preste servicios o participe en la realización o implementación de la práctica anterior</w:t>
      </w:r>
      <w:r w:rsidRPr="00916C66">
        <w:rPr>
          <w:rFonts w:ascii="Soberana Sans" w:hAnsi="Soberana Sans"/>
          <w:sz w:val="20"/>
        </w:rPr>
        <w:t>.</w:t>
      </w:r>
    </w:p>
    <w:p w:rsidR="00403C2F" w:rsidRDefault="00403C2F" w:rsidP="00403C2F">
      <w:pPr>
        <w:pStyle w:val="Texto0"/>
        <w:spacing w:after="0" w:line="240" w:lineRule="auto"/>
        <w:ind w:left="1276" w:firstLine="0"/>
        <w:rPr>
          <w:rFonts w:ascii="Soberana Sans" w:hAnsi="Soberana Sans"/>
          <w:sz w:val="20"/>
        </w:rPr>
      </w:pPr>
    </w:p>
    <w:p w:rsidR="00403C2F" w:rsidRPr="005064E6" w:rsidRDefault="00403C2F" w:rsidP="00403C2F">
      <w:pPr>
        <w:pStyle w:val="Texto0"/>
        <w:spacing w:after="0" w:line="240" w:lineRule="auto"/>
        <w:ind w:left="1276" w:hanging="1276"/>
        <w:rPr>
          <w:rFonts w:ascii="Soberana Sans" w:hAnsi="Soberana Sans"/>
          <w:b/>
          <w:szCs w:val="18"/>
        </w:rPr>
      </w:pPr>
      <w:r>
        <w:rPr>
          <w:rFonts w:ascii="Soberana Sans" w:hAnsi="Soberana Sans"/>
          <w:b/>
          <w:szCs w:val="18"/>
        </w:rPr>
        <w:t>34/ISR/NV</w:t>
      </w:r>
      <w:r w:rsidRPr="004A5363">
        <w:rPr>
          <w:rFonts w:ascii="Soberana Sans" w:hAnsi="Soberana Sans"/>
          <w:szCs w:val="18"/>
        </w:rPr>
        <w:tab/>
      </w:r>
      <w:r w:rsidRPr="006A738A">
        <w:rPr>
          <w:rFonts w:ascii="Soberana Sans" w:hAnsi="Soberana Sans"/>
          <w:b/>
          <w:szCs w:val="18"/>
        </w:rPr>
        <w:t>Derechos federativos de los deportistas. Su adquisición constituye una inversión en la modalidad de gasto diferido</w:t>
      </w:r>
      <w:r w:rsidRPr="005064E6">
        <w:rPr>
          <w:rFonts w:ascii="Soberana Sans" w:hAnsi="Soberana Sans"/>
          <w:b/>
          <w:szCs w:val="18"/>
        </w:rPr>
        <w:t>.</w:t>
      </w:r>
    </w:p>
    <w:p w:rsidR="00403C2F" w:rsidRDefault="00403C2F" w:rsidP="00403C2F">
      <w:pPr>
        <w:pStyle w:val="Texto0"/>
        <w:spacing w:after="0" w:line="240" w:lineRule="auto"/>
        <w:ind w:left="1276" w:firstLine="0"/>
        <w:rPr>
          <w:rFonts w:ascii="Soberana Sans" w:hAnsi="Soberana Sans"/>
          <w:sz w:val="20"/>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El artículo 25, fracción IV, de la Ley del ISR, establece que los contribuyentes podrán efectuar diversas deducciones, entre ellas, la de inversiones.</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lastRenderedPageBreak/>
        <w:t>El 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 xml:space="preserve">Los 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 </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Las asociaciones deportivas o clubes deportivos llevan a cabo prácticas comerciales en donde, como parte de su actividad, adquieren los comercialmente denominados “derechos fed</w:t>
      </w:r>
      <w:r>
        <w:rPr>
          <w:rFonts w:ascii="Soberana Sans" w:hAnsi="Soberana Sans"/>
          <w:szCs w:val="18"/>
        </w:rPr>
        <w:t>erativos” o “carta de derechos”</w:t>
      </w:r>
      <w:r w:rsidRPr="006A738A">
        <w:rPr>
          <w:rFonts w:ascii="Soberana Sans" w:hAnsi="Soberana Sans"/>
          <w:szCs w:val="18"/>
        </w:rPr>
        <w:t xml:space="preserve">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Por lo anterior, se considera que realizan una práctica fiscal indebida:</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I.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rsidR="00403C2F" w:rsidRPr="006A738A" w:rsidRDefault="00403C2F" w:rsidP="00403C2F">
      <w:pPr>
        <w:pStyle w:val="Texto0"/>
        <w:spacing w:after="0" w:line="240" w:lineRule="auto"/>
        <w:ind w:left="1276" w:firstLine="0"/>
        <w:rPr>
          <w:rFonts w:ascii="Soberana Sans" w:hAnsi="Soberana Sans"/>
          <w:szCs w:val="18"/>
        </w:rPr>
      </w:pPr>
    </w:p>
    <w:p w:rsidR="00403C2F" w:rsidRPr="006A738A" w:rsidRDefault="00403C2F" w:rsidP="00403C2F">
      <w:pPr>
        <w:pStyle w:val="Texto0"/>
        <w:spacing w:after="0" w:line="240" w:lineRule="auto"/>
        <w:ind w:left="1276" w:firstLine="0"/>
        <w:rPr>
          <w:rFonts w:ascii="Soberana Sans" w:hAnsi="Soberana Sans"/>
          <w:szCs w:val="18"/>
        </w:rPr>
      </w:pPr>
      <w:r w:rsidRPr="006A738A">
        <w:rPr>
          <w:rFonts w:ascii="Soberana Sans" w:hAnsi="Soberana Sans"/>
          <w:szCs w:val="18"/>
        </w:rPr>
        <w:t>II. Quien asesore, aconseje, preste servicios o participe en la realización o la implementación de la práctica anterior.</w:t>
      </w:r>
    </w:p>
    <w:p w:rsidR="00765CF0" w:rsidRDefault="00765CF0" w:rsidP="00765CF0">
      <w:pPr>
        <w:pStyle w:val="Texto0"/>
        <w:spacing w:after="0" w:line="240" w:lineRule="auto"/>
        <w:ind w:firstLine="0"/>
        <w:rPr>
          <w:rFonts w:ascii="Soberana Sans" w:hAnsi="Soberana Sans"/>
          <w:szCs w:val="18"/>
        </w:rPr>
      </w:pPr>
    </w:p>
    <w:p w:rsidR="00765CF0" w:rsidRPr="004A5363" w:rsidRDefault="00765CF0" w:rsidP="00765CF0">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765CF0" w:rsidRPr="004B45D8" w:rsidRDefault="00765CF0" w:rsidP="004B45D8">
      <w:pPr>
        <w:pStyle w:val="Texto0"/>
        <w:spacing w:line="238" w:lineRule="exact"/>
        <w:ind w:left="1418" w:hanging="1418"/>
        <w:rPr>
          <w:rFonts w:ascii="Soberana Sans" w:hAnsi="Soberana Sans"/>
          <w:szCs w:val="18"/>
          <w:lang w:val="pt-BR"/>
        </w:rPr>
      </w:pPr>
      <w:r w:rsidRPr="00AE694E">
        <w:rPr>
          <w:rFonts w:ascii="Soberana Sans" w:hAnsi="Soberana Sans"/>
          <w:b/>
          <w:szCs w:val="18"/>
          <w:lang w:val="pt-BR"/>
        </w:rPr>
        <w:t>1/IVA/NV a</w:t>
      </w:r>
      <w:r w:rsidR="004B45D8">
        <w:rPr>
          <w:rFonts w:ascii="Soberana Sans" w:hAnsi="Soberana Sans"/>
          <w:b/>
          <w:szCs w:val="18"/>
          <w:lang w:val="pt-BR"/>
        </w:rPr>
        <w:tab/>
      </w:r>
      <w:r w:rsidR="004B45D8">
        <w:rPr>
          <w:rFonts w:ascii="Soberana Sans" w:hAnsi="Soberana Sans"/>
          <w:szCs w:val="18"/>
          <w:lang w:val="pt-BR"/>
        </w:rPr>
        <w:t>....................................................................................................................................................................................</w:t>
      </w:r>
    </w:p>
    <w:p w:rsidR="00765CF0" w:rsidRPr="00793398" w:rsidRDefault="00765CF0" w:rsidP="00765CF0">
      <w:pPr>
        <w:pStyle w:val="Texto0"/>
        <w:spacing w:line="238" w:lineRule="exact"/>
        <w:ind w:left="1296" w:hanging="1296"/>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Pr>
          <w:rFonts w:ascii="Soberana Sans" w:hAnsi="Soberana Sans"/>
          <w:szCs w:val="18"/>
        </w:rPr>
        <w:t>…………………………………………………………………………………………………………………………………………………………………………….</w:t>
      </w:r>
    </w:p>
    <w:p w:rsidR="00765CF0" w:rsidRPr="004A5363" w:rsidRDefault="00765CF0" w:rsidP="00765CF0">
      <w:pPr>
        <w:pStyle w:val="Texto0"/>
        <w:spacing w:after="0" w:line="240" w:lineRule="auto"/>
        <w:ind w:firstLine="0"/>
        <w:rPr>
          <w:rFonts w:ascii="Soberana Sans" w:hAnsi="Soberana Sans"/>
          <w:szCs w:val="18"/>
        </w:rPr>
      </w:pP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765CF0" w:rsidRPr="004B45D8" w:rsidRDefault="00765CF0" w:rsidP="00765CF0">
      <w:pPr>
        <w:pStyle w:val="Texto0"/>
        <w:spacing w:line="238" w:lineRule="exact"/>
        <w:ind w:firstLine="0"/>
        <w:rPr>
          <w:rFonts w:ascii="Soberana Sans" w:hAnsi="Soberana Sans"/>
          <w:szCs w:val="18"/>
          <w:lang w:val="en-US"/>
        </w:rPr>
      </w:pPr>
      <w:r w:rsidRPr="004A5363">
        <w:rPr>
          <w:rFonts w:ascii="Soberana Sans" w:hAnsi="Soberana Sans"/>
          <w:b/>
          <w:szCs w:val="18"/>
          <w:lang w:val="en-US"/>
        </w:rPr>
        <w:t>1/IEPS/NV a</w:t>
      </w:r>
      <w:r w:rsidR="004B45D8">
        <w:rPr>
          <w:rFonts w:ascii="Soberana Sans" w:hAnsi="Soberana Sans"/>
          <w:b/>
          <w:szCs w:val="18"/>
          <w:lang w:val="en-US"/>
        </w:rPr>
        <w:tab/>
      </w:r>
      <w:r w:rsidR="004B45D8">
        <w:rPr>
          <w:rFonts w:ascii="Soberana Sans" w:hAnsi="Soberana Sans"/>
          <w:szCs w:val="18"/>
          <w:lang w:val="en-US"/>
        </w:rPr>
        <w:t>…………………………………………………………………………………………………………………………………………………………………………</w:t>
      </w:r>
    </w:p>
    <w:p w:rsidR="00765CF0" w:rsidRPr="00793398" w:rsidRDefault="00765CF0" w:rsidP="00765CF0">
      <w:pPr>
        <w:pStyle w:val="Texto0"/>
        <w:tabs>
          <w:tab w:val="right" w:leader="dot" w:pos="8789"/>
        </w:tabs>
        <w:spacing w:line="238" w:lineRule="exact"/>
        <w:ind w:left="1296" w:right="49" w:hanging="1296"/>
        <w:rPr>
          <w:rFonts w:ascii="Soberana Sans" w:hAnsi="Soberana Sans"/>
          <w:szCs w:val="18"/>
          <w:lang w:val="en-US"/>
        </w:rPr>
      </w:pPr>
      <w:r>
        <w:rPr>
          <w:rFonts w:ascii="Soberana Sans" w:hAnsi="Soberana Sans"/>
          <w:b/>
          <w:szCs w:val="18"/>
          <w:lang w:val="en-US"/>
        </w:rPr>
        <w:lastRenderedPageBreak/>
        <w:t>5</w:t>
      </w:r>
      <w:r w:rsidRPr="00793398">
        <w:rPr>
          <w:rFonts w:ascii="Soberana Sans" w:hAnsi="Soberana Sans"/>
          <w:b/>
          <w:szCs w:val="18"/>
          <w:lang w:val="en-US"/>
        </w:rPr>
        <w:t>/IEPS/NV</w:t>
      </w:r>
      <w:r w:rsidRPr="00793398">
        <w:rPr>
          <w:rFonts w:ascii="Soberana Sans" w:hAnsi="Soberana Sans"/>
          <w:b/>
          <w:szCs w:val="18"/>
          <w:lang w:val="en-US"/>
        </w:rPr>
        <w:tab/>
      </w:r>
      <w:r>
        <w:rPr>
          <w:rFonts w:ascii="Soberana Sans" w:hAnsi="Soberana Sans"/>
          <w:szCs w:val="18"/>
          <w:lang w:val="en-US"/>
        </w:rPr>
        <w:t>……………………………………………………………………………………………………………………………………………………………………………</w:t>
      </w:r>
    </w:p>
    <w:p w:rsidR="00765CF0" w:rsidRPr="002B218A" w:rsidRDefault="00765CF0" w:rsidP="00765CF0">
      <w:pPr>
        <w:pStyle w:val="Texto0"/>
        <w:spacing w:line="238" w:lineRule="exact"/>
        <w:ind w:firstLine="0"/>
        <w:jc w:val="center"/>
        <w:rPr>
          <w:rFonts w:ascii="Soberana Sans" w:hAnsi="Soberana Sans"/>
          <w:b/>
          <w:szCs w:val="18"/>
        </w:rPr>
      </w:pPr>
    </w:p>
    <w:p w:rsidR="00765CF0"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765CF0" w:rsidRPr="004A5363"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left="1296" w:hanging="1296"/>
        <w:rPr>
          <w:rFonts w:ascii="Soberana Sans" w:hAnsi="Soberana Sans"/>
          <w:szCs w:val="18"/>
        </w:rPr>
      </w:pPr>
      <w:r w:rsidRPr="004A5363">
        <w:rPr>
          <w:rFonts w:ascii="Soberana Sans" w:hAnsi="Soberana Sans"/>
          <w:b/>
          <w:szCs w:val="18"/>
        </w:rPr>
        <w:t>1/LIGIE/NV</w:t>
      </w:r>
      <w:r>
        <w:rPr>
          <w:rFonts w:ascii="Soberana Sans" w:hAnsi="Soberana Sans"/>
          <w:szCs w:val="18"/>
        </w:rPr>
        <w:tab/>
        <w:t>.......................................................................................................................................................................................</w:t>
      </w:r>
    </w:p>
    <w:p w:rsidR="00765CF0"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765CF0" w:rsidRPr="004B45D8" w:rsidRDefault="00765CF0" w:rsidP="00765CF0">
      <w:pPr>
        <w:pStyle w:val="Texto0"/>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4B45D8">
        <w:rPr>
          <w:rFonts w:ascii="Soberana Sans" w:hAnsi="Soberana Sans"/>
          <w:b/>
          <w:szCs w:val="18"/>
          <w:lang w:val="en-US"/>
        </w:rPr>
        <w:tab/>
      </w:r>
      <w:r w:rsidR="004B45D8">
        <w:rPr>
          <w:rFonts w:ascii="Soberana Sans" w:hAnsi="Soberana Sans"/>
          <w:szCs w:val="18"/>
          <w:lang w:val="en-US"/>
        </w:rPr>
        <w:t>…………………………………………………………………………………………………………………………………………………………………………….</w:t>
      </w:r>
    </w:p>
    <w:p w:rsidR="00765CF0" w:rsidRDefault="00765CF0" w:rsidP="00765CF0">
      <w:pPr>
        <w:pStyle w:val="Texto0"/>
        <w:tabs>
          <w:tab w:val="right" w:leader="dot" w:pos="8789"/>
        </w:tabs>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765CF0" w:rsidRDefault="00765CF0" w:rsidP="00765CF0">
      <w:pPr>
        <w:pStyle w:val="Texto0"/>
        <w:tabs>
          <w:tab w:val="right" w:leader="dot" w:pos="8789"/>
        </w:tabs>
        <w:spacing w:line="238" w:lineRule="exact"/>
        <w:ind w:left="1296" w:hanging="1296"/>
        <w:rPr>
          <w:rFonts w:ascii="Soberana Sans" w:hAnsi="Soberana Sans"/>
          <w:szCs w:val="18"/>
          <w:lang w:val="en-US"/>
        </w:rPr>
      </w:pPr>
    </w:p>
    <w:p w:rsidR="00765CF0" w:rsidRPr="00765CF0" w:rsidRDefault="00765CF0" w:rsidP="00765CF0">
      <w:pPr>
        <w:pStyle w:val="Sangradetextonormal"/>
        <w:ind w:right="-234"/>
        <w:jc w:val="center"/>
        <w:rPr>
          <w:rFonts w:ascii="Soberana Sans" w:hAnsi="Soberana Sans"/>
          <w:sz w:val="18"/>
          <w:szCs w:val="18"/>
        </w:rPr>
      </w:pPr>
    </w:p>
    <w:p w:rsidR="004854F2" w:rsidRDefault="004854F2" w:rsidP="00852170">
      <w:pPr>
        <w:rPr>
          <w:sz w:val="20"/>
          <w:szCs w:val="20"/>
          <w:lang w:val="es-ES"/>
        </w:rPr>
      </w:pPr>
    </w:p>
    <w:p w:rsidR="007A0181" w:rsidRDefault="007A0181" w:rsidP="00852170">
      <w:pPr>
        <w:rPr>
          <w:sz w:val="20"/>
          <w:szCs w:val="20"/>
          <w:lang w:val="es-ES"/>
        </w:rPr>
        <w:sectPr w:rsidR="007A0181" w:rsidSect="009F0978">
          <w:headerReference w:type="even" r:id="rId8"/>
          <w:headerReference w:type="default" r:id="rId9"/>
          <w:footerReference w:type="even" r:id="rId10"/>
          <w:footerReference w:type="default" r:id="rId11"/>
          <w:headerReference w:type="first" r:id="rId12"/>
          <w:footerReference w:type="first" r:id="rId13"/>
          <w:pgSz w:w="12240" w:h="15840"/>
          <w:pgMar w:top="1134" w:right="1469" w:bottom="1134" w:left="1418" w:header="426" w:footer="709" w:gutter="0"/>
          <w:cols w:space="708"/>
          <w:docGrid w:linePitch="360"/>
        </w:sectPr>
      </w:pPr>
    </w:p>
    <w:p w:rsidR="00AC1983" w:rsidRPr="006C6BC2" w:rsidRDefault="00AC1983" w:rsidP="00AC1983">
      <w:pPr>
        <w:rPr>
          <w:rFonts w:ascii="Soberana Sans" w:eastAsia="MS Mincho" w:hAnsi="Soberana Sans" w:cs="Arial"/>
          <w:noProof/>
          <w:color w:val="000000"/>
          <w:sz w:val="18"/>
          <w:szCs w:val="18"/>
        </w:rPr>
      </w:pPr>
    </w:p>
    <w:p w:rsidR="00AC1983" w:rsidRPr="006C6BC2" w:rsidRDefault="00AC1983" w:rsidP="00AC1983">
      <w:pPr>
        <w:ind w:left="567" w:hanging="567"/>
        <w:rPr>
          <w:rFonts w:ascii="Soberana Sans" w:eastAsia="MS Mincho" w:hAnsi="Soberana Sans" w:cs="Arial"/>
          <w:noProof/>
          <w:color w:val="000000"/>
          <w:sz w:val="18"/>
          <w:szCs w:val="18"/>
        </w:rPr>
      </w:pPr>
    </w:p>
    <w:p w:rsidR="00AC1983" w:rsidRPr="006C6BC2" w:rsidRDefault="00AC1983" w:rsidP="00AC1983">
      <w:pPr>
        <w:ind w:left="567" w:hanging="567"/>
        <w:rPr>
          <w:rFonts w:ascii="Soberana Sans" w:eastAsia="MS Mincho" w:hAnsi="Soberana Sans" w:cs="Arial"/>
          <w:color w:val="000000"/>
          <w:sz w:val="18"/>
          <w:szCs w:val="18"/>
        </w:rPr>
      </w:pPr>
    </w:p>
    <w:p w:rsidR="00AC1983" w:rsidRPr="006C6BC2" w:rsidRDefault="00AC1983" w:rsidP="00AC1983">
      <w:pPr>
        <w:ind w:left="567" w:hanging="567"/>
        <w:rPr>
          <w:rFonts w:ascii="Soberana Sans" w:eastAsia="MS Mincho" w:hAnsi="Soberana Sans" w:cs="Arial"/>
          <w:color w:val="000000"/>
          <w:sz w:val="18"/>
          <w:szCs w:val="18"/>
        </w:rPr>
      </w:pPr>
    </w:p>
    <w:p w:rsidR="00AC1983" w:rsidRDefault="00AC1983" w:rsidP="00AC1983">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AC1983" w:rsidRPr="00DA78DC"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Pr>
          <w:rFonts w:ascii="Soberana Sans" w:eastAsia="MS Mincho" w:hAnsi="Soberana Sans" w:cs="Arial"/>
          <w:color w:val="000000"/>
          <w:sz w:val="18"/>
          <w:szCs w:val="18"/>
          <w:lang w:val="es-ES"/>
        </w:rPr>
        <w:t xml:space="preserve">, 07 de julio </w:t>
      </w:r>
      <w:r w:rsidRPr="00294556">
        <w:rPr>
          <w:rFonts w:ascii="Soberana Sans" w:eastAsia="MS Mincho" w:hAnsi="Soberana Sans" w:cs="Arial"/>
          <w:color w:val="000000"/>
          <w:sz w:val="18"/>
          <w:szCs w:val="18"/>
          <w:lang w:val="es-ES"/>
        </w:rPr>
        <w:t>de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AC1983" w:rsidRPr="00294556"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AC1983"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D44BE0" w:rsidRPr="007A0181" w:rsidRDefault="00AC1983" w:rsidP="00AC1983">
      <w:pPr>
        <w:ind w:left="4536"/>
        <w:rPr>
          <w:sz w:val="18"/>
          <w:szCs w:val="18"/>
          <w:lang w:val="es-ES"/>
        </w:rPr>
      </w:pPr>
      <w:r>
        <w:rPr>
          <w:rFonts w:ascii="Soberana Sans" w:eastAsia="MS Mincho" w:hAnsi="Soberana Sans" w:cs="Arial"/>
          <w:color w:val="000000"/>
          <w:sz w:val="18"/>
          <w:szCs w:val="18"/>
          <w:lang w:val="es-ES"/>
        </w:rPr>
        <w:t>Osvaldo Antonio Santín Quiroz</w:t>
      </w:r>
      <w:r w:rsidRPr="00DA78DC">
        <w:rPr>
          <w:rFonts w:ascii="Soberana Sans" w:eastAsia="MS Mincho" w:hAnsi="Soberana Sans" w:cs="Arial"/>
          <w:color w:val="000000"/>
          <w:sz w:val="18"/>
          <w:szCs w:val="18"/>
          <w:lang w:val="es-ES"/>
        </w:rPr>
        <w:t>.</w:t>
      </w:r>
    </w:p>
    <w:sectPr w:rsidR="00D44BE0" w:rsidRPr="007A0181" w:rsidSect="009F0978">
      <w:headerReference w:type="default" r:id="rId14"/>
      <w:footerReference w:type="default" r:id="rId15"/>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5B" w:rsidRDefault="0056495B">
      <w:r>
        <w:separator/>
      </w:r>
    </w:p>
  </w:endnote>
  <w:endnote w:type="continuationSeparator" w:id="0">
    <w:p w:rsidR="0056495B" w:rsidRDefault="0056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01" w:rsidRDefault="00C376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C37601" w:rsidRDefault="00C37601" w:rsidP="00C37601">
        <w:pPr>
          <w:pStyle w:val="Piedepgina"/>
          <w:ind w:left="-142"/>
        </w:pPr>
        <w:r>
          <w:rPr>
            <w:rFonts w:ascii="Soberana Sans" w:eastAsia="Calibri" w:hAnsi="Soberana Sans" w:cs="Arial"/>
            <w:sz w:val="18"/>
            <w:szCs w:val="18"/>
            <w:lang w:val="es-ES_tradnl" w:eastAsia="es-ES_tradnl"/>
          </w:rPr>
          <w:t>Nota: El presente documento se da a conocer en la página de Internet del SAT en términos de la regla 1.8.</w:t>
        </w:r>
      </w:p>
      <w:bookmarkStart w:id="0" w:name="_GoBack"/>
      <w:bookmarkEnd w:id="0"/>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C37601" w:rsidRPr="00C37601">
          <w:rPr>
            <w:rFonts w:ascii="Soberana Sans" w:hAnsi="Soberana Sans"/>
            <w:noProof/>
            <w:sz w:val="18"/>
            <w:szCs w:val="18"/>
            <w:lang w:val="es-ES"/>
          </w:rPr>
          <w:t>1</w:t>
        </w:r>
        <w:r w:rsidRPr="007A0181">
          <w:rPr>
            <w:rFonts w:ascii="Soberana Sans" w:hAnsi="Soberana Sans"/>
            <w:sz w:val="18"/>
            <w:szCs w:val="18"/>
          </w:rPr>
          <w:fldChar w:fldCharType="end"/>
        </w:r>
      </w:p>
    </w:sdtContent>
  </w:sdt>
  <w:p w:rsidR="007A0181" w:rsidRDefault="007A01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01" w:rsidRDefault="00C3760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5B" w:rsidRDefault="0056495B">
      <w:r>
        <w:separator/>
      </w:r>
    </w:p>
  </w:footnote>
  <w:footnote w:type="continuationSeparator" w:id="0">
    <w:p w:rsidR="0056495B" w:rsidRDefault="00564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01" w:rsidRDefault="00C376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4016020</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01" w:rsidRDefault="00C3760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83" w:rsidRPr="009F0978" w:rsidRDefault="00AC1983" w:rsidP="004375BC">
    <w:pPr>
      <w:pStyle w:val="Encabezado"/>
      <w:tabs>
        <w:tab w:val="clear" w:pos="4252"/>
        <w:tab w:val="clear" w:pos="8504"/>
        <w:tab w:val="right" w:pos="9353"/>
      </w:tabs>
      <w:rPr>
        <w:sz w:val="10"/>
        <w:szCs w:val="10"/>
      </w:rPr>
    </w:pPr>
  </w:p>
  <w:p w:rsidR="00AC1983" w:rsidRPr="009F0978" w:rsidRDefault="00AC1983"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1104D5CF" wp14:editId="018B30AF">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53D74BD1" wp14:editId="05846B25">
          <wp:simplePos x="0" y="0"/>
          <wp:positionH relativeFrom="column">
            <wp:posOffset>4016020</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AC1983">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Pr>
        <w:rFonts w:ascii="Soberana Sans" w:hAnsi="Soberana Sans" w:cs="Arial"/>
        <w:sz w:val="18"/>
        <w:szCs w:val="18"/>
      </w:rPr>
      <w:t>3 DE LA SEGUNDA</w:t>
    </w:r>
    <w:r w:rsidR="00496B69">
      <w:rPr>
        <w:rFonts w:ascii="Soberana Sans" w:hAnsi="Soberana Sans" w:cs="Arial"/>
        <w:sz w:val="18"/>
        <w:szCs w:val="18"/>
      </w:rPr>
      <w:t xml:space="preserve"> RESOLUCIÓN</w:t>
    </w:r>
  </w:p>
  <w:p w:rsidR="00AC1983" w:rsidRPr="006A20D7" w:rsidRDefault="00AC1983" w:rsidP="00AC1983">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rsidR="00AC1983" w:rsidRPr="009F0978" w:rsidRDefault="00AC1983" w:rsidP="004375BC">
    <w:pPr>
      <w:pStyle w:val="Encabezado"/>
      <w:tabs>
        <w:tab w:val="clear" w:pos="4252"/>
        <w:tab w:val="clear" w:pos="8504"/>
        <w:tab w:val="right" w:pos="9353"/>
      </w:tabs>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1071E"/>
    <w:rsid w:val="000109F8"/>
    <w:rsid w:val="000165A3"/>
    <w:rsid w:val="00035AEC"/>
    <w:rsid w:val="00037461"/>
    <w:rsid w:val="000404F6"/>
    <w:rsid w:val="00040E6E"/>
    <w:rsid w:val="000457FE"/>
    <w:rsid w:val="000573ED"/>
    <w:rsid w:val="00057C4F"/>
    <w:rsid w:val="00060968"/>
    <w:rsid w:val="000613B5"/>
    <w:rsid w:val="000651E4"/>
    <w:rsid w:val="00073C03"/>
    <w:rsid w:val="0008325C"/>
    <w:rsid w:val="00083440"/>
    <w:rsid w:val="00091E57"/>
    <w:rsid w:val="00096D36"/>
    <w:rsid w:val="000A6A8C"/>
    <w:rsid w:val="000B22F4"/>
    <w:rsid w:val="000B36A5"/>
    <w:rsid w:val="000B45B1"/>
    <w:rsid w:val="000C4313"/>
    <w:rsid w:val="000C6262"/>
    <w:rsid w:val="000E48D3"/>
    <w:rsid w:val="000E551C"/>
    <w:rsid w:val="000F0A1A"/>
    <w:rsid w:val="00102232"/>
    <w:rsid w:val="00125F7B"/>
    <w:rsid w:val="00133E6B"/>
    <w:rsid w:val="00140A14"/>
    <w:rsid w:val="0014395D"/>
    <w:rsid w:val="001474A3"/>
    <w:rsid w:val="00154501"/>
    <w:rsid w:val="00157F39"/>
    <w:rsid w:val="001636D8"/>
    <w:rsid w:val="00172908"/>
    <w:rsid w:val="00175B4C"/>
    <w:rsid w:val="0019186F"/>
    <w:rsid w:val="001A3064"/>
    <w:rsid w:val="001A327F"/>
    <w:rsid w:val="001B2B0F"/>
    <w:rsid w:val="001B5EC7"/>
    <w:rsid w:val="001B60EC"/>
    <w:rsid w:val="001B7BD3"/>
    <w:rsid w:val="00207B9E"/>
    <w:rsid w:val="00215818"/>
    <w:rsid w:val="00215D27"/>
    <w:rsid w:val="002212C6"/>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B0BD9"/>
    <w:rsid w:val="002D27D9"/>
    <w:rsid w:val="002D59A3"/>
    <w:rsid w:val="002E28D3"/>
    <w:rsid w:val="002E432C"/>
    <w:rsid w:val="003038C7"/>
    <w:rsid w:val="00312409"/>
    <w:rsid w:val="00312B05"/>
    <w:rsid w:val="0032251B"/>
    <w:rsid w:val="003324D6"/>
    <w:rsid w:val="00342515"/>
    <w:rsid w:val="00344409"/>
    <w:rsid w:val="00345D47"/>
    <w:rsid w:val="00347BF3"/>
    <w:rsid w:val="00355DB2"/>
    <w:rsid w:val="00360D57"/>
    <w:rsid w:val="00366CEE"/>
    <w:rsid w:val="003674CC"/>
    <w:rsid w:val="00374AB0"/>
    <w:rsid w:val="0038012C"/>
    <w:rsid w:val="00384EF3"/>
    <w:rsid w:val="00391C83"/>
    <w:rsid w:val="003A311E"/>
    <w:rsid w:val="003B0839"/>
    <w:rsid w:val="003C713A"/>
    <w:rsid w:val="003D248D"/>
    <w:rsid w:val="003D2940"/>
    <w:rsid w:val="003E5B4B"/>
    <w:rsid w:val="003F254D"/>
    <w:rsid w:val="003F4D85"/>
    <w:rsid w:val="003F67CA"/>
    <w:rsid w:val="00403C2F"/>
    <w:rsid w:val="00410552"/>
    <w:rsid w:val="00411FA1"/>
    <w:rsid w:val="004121E5"/>
    <w:rsid w:val="004124D7"/>
    <w:rsid w:val="004358EE"/>
    <w:rsid w:val="004360BF"/>
    <w:rsid w:val="004375BC"/>
    <w:rsid w:val="00442319"/>
    <w:rsid w:val="0044498B"/>
    <w:rsid w:val="00453950"/>
    <w:rsid w:val="00453CE5"/>
    <w:rsid w:val="00454C09"/>
    <w:rsid w:val="0045508A"/>
    <w:rsid w:val="00457883"/>
    <w:rsid w:val="00466EB4"/>
    <w:rsid w:val="00467393"/>
    <w:rsid w:val="00470631"/>
    <w:rsid w:val="004761EF"/>
    <w:rsid w:val="004854F2"/>
    <w:rsid w:val="004902C5"/>
    <w:rsid w:val="00494CC6"/>
    <w:rsid w:val="00496663"/>
    <w:rsid w:val="00496B69"/>
    <w:rsid w:val="004A2497"/>
    <w:rsid w:val="004A61AB"/>
    <w:rsid w:val="004A6337"/>
    <w:rsid w:val="004B26D3"/>
    <w:rsid w:val="004B45D8"/>
    <w:rsid w:val="004C2500"/>
    <w:rsid w:val="004C2E71"/>
    <w:rsid w:val="004C2F75"/>
    <w:rsid w:val="004C538D"/>
    <w:rsid w:val="004D15E4"/>
    <w:rsid w:val="004D6590"/>
    <w:rsid w:val="004E28C1"/>
    <w:rsid w:val="004E6B64"/>
    <w:rsid w:val="004E7C9B"/>
    <w:rsid w:val="005000D7"/>
    <w:rsid w:val="005060EE"/>
    <w:rsid w:val="005160A3"/>
    <w:rsid w:val="005164FE"/>
    <w:rsid w:val="005166F4"/>
    <w:rsid w:val="00521D0B"/>
    <w:rsid w:val="005256D7"/>
    <w:rsid w:val="00533321"/>
    <w:rsid w:val="00535857"/>
    <w:rsid w:val="00535884"/>
    <w:rsid w:val="00555034"/>
    <w:rsid w:val="0056495B"/>
    <w:rsid w:val="00566289"/>
    <w:rsid w:val="0056736C"/>
    <w:rsid w:val="00567D08"/>
    <w:rsid w:val="005720C8"/>
    <w:rsid w:val="00572CC7"/>
    <w:rsid w:val="00582ABB"/>
    <w:rsid w:val="00584382"/>
    <w:rsid w:val="005B0EB3"/>
    <w:rsid w:val="005B3DBA"/>
    <w:rsid w:val="005B5C4C"/>
    <w:rsid w:val="005B7F2E"/>
    <w:rsid w:val="005C0701"/>
    <w:rsid w:val="005C162F"/>
    <w:rsid w:val="005D5B2C"/>
    <w:rsid w:val="005D7372"/>
    <w:rsid w:val="005E0213"/>
    <w:rsid w:val="005E221D"/>
    <w:rsid w:val="005E2A11"/>
    <w:rsid w:val="005F2EF2"/>
    <w:rsid w:val="005F466F"/>
    <w:rsid w:val="00602644"/>
    <w:rsid w:val="0060573B"/>
    <w:rsid w:val="006116F1"/>
    <w:rsid w:val="00614E73"/>
    <w:rsid w:val="0062135F"/>
    <w:rsid w:val="00621622"/>
    <w:rsid w:val="00624E5E"/>
    <w:rsid w:val="006306D6"/>
    <w:rsid w:val="006317BC"/>
    <w:rsid w:val="00634532"/>
    <w:rsid w:val="00634BAE"/>
    <w:rsid w:val="0064362A"/>
    <w:rsid w:val="00643BF7"/>
    <w:rsid w:val="00643E11"/>
    <w:rsid w:val="00662386"/>
    <w:rsid w:val="00675B35"/>
    <w:rsid w:val="0068341B"/>
    <w:rsid w:val="00686255"/>
    <w:rsid w:val="006A16EB"/>
    <w:rsid w:val="006B1C5D"/>
    <w:rsid w:val="006B1F6F"/>
    <w:rsid w:val="006C626B"/>
    <w:rsid w:val="006D4513"/>
    <w:rsid w:val="006D4DEF"/>
    <w:rsid w:val="006E5AB6"/>
    <w:rsid w:val="006F0F47"/>
    <w:rsid w:val="00700CDA"/>
    <w:rsid w:val="00703165"/>
    <w:rsid w:val="0070696D"/>
    <w:rsid w:val="007126AD"/>
    <w:rsid w:val="0071765F"/>
    <w:rsid w:val="00721A7E"/>
    <w:rsid w:val="00721B9E"/>
    <w:rsid w:val="007235D2"/>
    <w:rsid w:val="00732915"/>
    <w:rsid w:val="0074178F"/>
    <w:rsid w:val="00765CF0"/>
    <w:rsid w:val="00774707"/>
    <w:rsid w:val="00776D4C"/>
    <w:rsid w:val="00785A34"/>
    <w:rsid w:val="00787E2A"/>
    <w:rsid w:val="007A0181"/>
    <w:rsid w:val="007A276F"/>
    <w:rsid w:val="007A3A65"/>
    <w:rsid w:val="007A55AE"/>
    <w:rsid w:val="007A746C"/>
    <w:rsid w:val="007C2088"/>
    <w:rsid w:val="007C5D1F"/>
    <w:rsid w:val="007C63B8"/>
    <w:rsid w:val="007C71EE"/>
    <w:rsid w:val="007C76F9"/>
    <w:rsid w:val="007F0CE1"/>
    <w:rsid w:val="007F1102"/>
    <w:rsid w:val="007F4D8A"/>
    <w:rsid w:val="007F616E"/>
    <w:rsid w:val="00802297"/>
    <w:rsid w:val="00812E9B"/>
    <w:rsid w:val="00813816"/>
    <w:rsid w:val="00814767"/>
    <w:rsid w:val="00821335"/>
    <w:rsid w:val="0082148A"/>
    <w:rsid w:val="00823950"/>
    <w:rsid w:val="00825F9B"/>
    <w:rsid w:val="00826127"/>
    <w:rsid w:val="00852170"/>
    <w:rsid w:val="00855089"/>
    <w:rsid w:val="00856BDA"/>
    <w:rsid w:val="0086128B"/>
    <w:rsid w:val="0086300C"/>
    <w:rsid w:val="00864E80"/>
    <w:rsid w:val="00877B80"/>
    <w:rsid w:val="00882F33"/>
    <w:rsid w:val="0088306D"/>
    <w:rsid w:val="00884E96"/>
    <w:rsid w:val="00890249"/>
    <w:rsid w:val="00891BB1"/>
    <w:rsid w:val="0089407D"/>
    <w:rsid w:val="0089733B"/>
    <w:rsid w:val="008A0E45"/>
    <w:rsid w:val="008A4B1F"/>
    <w:rsid w:val="008A582A"/>
    <w:rsid w:val="008B4E5E"/>
    <w:rsid w:val="008C0268"/>
    <w:rsid w:val="008C4D07"/>
    <w:rsid w:val="008C7C2F"/>
    <w:rsid w:val="008D0438"/>
    <w:rsid w:val="008D6D6A"/>
    <w:rsid w:val="008E4648"/>
    <w:rsid w:val="008E743F"/>
    <w:rsid w:val="009062F7"/>
    <w:rsid w:val="0090795B"/>
    <w:rsid w:val="00907D3B"/>
    <w:rsid w:val="00920F1F"/>
    <w:rsid w:val="00927AE1"/>
    <w:rsid w:val="00930878"/>
    <w:rsid w:val="00933F41"/>
    <w:rsid w:val="00936E67"/>
    <w:rsid w:val="00943331"/>
    <w:rsid w:val="00945099"/>
    <w:rsid w:val="00947828"/>
    <w:rsid w:val="00952715"/>
    <w:rsid w:val="00953B5E"/>
    <w:rsid w:val="00960A47"/>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5F3"/>
    <w:rsid w:val="00AB0C7E"/>
    <w:rsid w:val="00AC1983"/>
    <w:rsid w:val="00AC7AC8"/>
    <w:rsid w:val="00AD30E2"/>
    <w:rsid w:val="00AD4FF7"/>
    <w:rsid w:val="00AE00DD"/>
    <w:rsid w:val="00AF0127"/>
    <w:rsid w:val="00AF0500"/>
    <w:rsid w:val="00AF09F7"/>
    <w:rsid w:val="00AF1508"/>
    <w:rsid w:val="00AF5C3D"/>
    <w:rsid w:val="00AF684B"/>
    <w:rsid w:val="00B048A4"/>
    <w:rsid w:val="00B05254"/>
    <w:rsid w:val="00B07836"/>
    <w:rsid w:val="00B12DA8"/>
    <w:rsid w:val="00B15CD6"/>
    <w:rsid w:val="00B17DA5"/>
    <w:rsid w:val="00B24106"/>
    <w:rsid w:val="00B35589"/>
    <w:rsid w:val="00B50C34"/>
    <w:rsid w:val="00B50E3A"/>
    <w:rsid w:val="00B517F3"/>
    <w:rsid w:val="00B64C67"/>
    <w:rsid w:val="00B6555A"/>
    <w:rsid w:val="00B71049"/>
    <w:rsid w:val="00B742D4"/>
    <w:rsid w:val="00B813A0"/>
    <w:rsid w:val="00B844B0"/>
    <w:rsid w:val="00BA1515"/>
    <w:rsid w:val="00BA47EB"/>
    <w:rsid w:val="00BB1C8A"/>
    <w:rsid w:val="00BB384F"/>
    <w:rsid w:val="00BB42D9"/>
    <w:rsid w:val="00BB4534"/>
    <w:rsid w:val="00BC7A62"/>
    <w:rsid w:val="00BD4500"/>
    <w:rsid w:val="00BD67D3"/>
    <w:rsid w:val="00BD6ED1"/>
    <w:rsid w:val="00BD7C93"/>
    <w:rsid w:val="00BE2F47"/>
    <w:rsid w:val="00BE4353"/>
    <w:rsid w:val="00BF0B6C"/>
    <w:rsid w:val="00BF3333"/>
    <w:rsid w:val="00BF6700"/>
    <w:rsid w:val="00C06097"/>
    <w:rsid w:val="00C07BD6"/>
    <w:rsid w:val="00C1133A"/>
    <w:rsid w:val="00C149FC"/>
    <w:rsid w:val="00C27EA7"/>
    <w:rsid w:val="00C37601"/>
    <w:rsid w:val="00C5379A"/>
    <w:rsid w:val="00C55EC5"/>
    <w:rsid w:val="00C61A4E"/>
    <w:rsid w:val="00C66325"/>
    <w:rsid w:val="00C70565"/>
    <w:rsid w:val="00C75B91"/>
    <w:rsid w:val="00C818D8"/>
    <w:rsid w:val="00C83F30"/>
    <w:rsid w:val="00C8538A"/>
    <w:rsid w:val="00C91E64"/>
    <w:rsid w:val="00C95464"/>
    <w:rsid w:val="00C96809"/>
    <w:rsid w:val="00CA22E5"/>
    <w:rsid w:val="00CB3B27"/>
    <w:rsid w:val="00CB7E20"/>
    <w:rsid w:val="00CC00DD"/>
    <w:rsid w:val="00CC640E"/>
    <w:rsid w:val="00CC6C4F"/>
    <w:rsid w:val="00CE0876"/>
    <w:rsid w:val="00CE1DFB"/>
    <w:rsid w:val="00CE20C1"/>
    <w:rsid w:val="00CE5A55"/>
    <w:rsid w:val="00CF2FA3"/>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D0D24"/>
    <w:rsid w:val="00DD39A2"/>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4053"/>
    <w:rsid w:val="00E55B8C"/>
    <w:rsid w:val="00E63D8F"/>
    <w:rsid w:val="00E66227"/>
    <w:rsid w:val="00E75068"/>
    <w:rsid w:val="00E82097"/>
    <w:rsid w:val="00E83171"/>
    <w:rsid w:val="00E837D8"/>
    <w:rsid w:val="00E848A8"/>
    <w:rsid w:val="00E87267"/>
    <w:rsid w:val="00EA474C"/>
    <w:rsid w:val="00EB4001"/>
    <w:rsid w:val="00EB4D95"/>
    <w:rsid w:val="00EC1BFD"/>
    <w:rsid w:val="00EC6FB2"/>
    <w:rsid w:val="00ED0EF8"/>
    <w:rsid w:val="00EE105C"/>
    <w:rsid w:val="00F01FA6"/>
    <w:rsid w:val="00F0418F"/>
    <w:rsid w:val="00F22BD4"/>
    <w:rsid w:val="00F30E9D"/>
    <w:rsid w:val="00F34F3D"/>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8234">
      <w:bodyDiv w:val="1"/>
      <w:marLeft w:val="0"/>
      <w:marRight w:val="0"/>
      <w:marTop w:val="0"/>
      <w:marBottom w:val="0"/>
      <w:divBdr>
        <w:top w:val="none" w:sz="0" w:space="0" w:color="auto"/>
        <w:left w:val="none" w:sz="0" w:space="0" w:color="auto"/>
        <w:bottom w:val="none" w:sz="0" w:space="0" w:color="auto"/>
        <w:right w:val="none" w:sz="0" w:space="0" w:color="auto"/>
      </w:divBdr>
    </w:div>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5D709-C78D-4E48-9187-4B8030351D93}"/>
</file>

<file path=customXml/itemProps2.xml><?xml version="1.0" encoding="utf-8"?>
<ds:datastoreItem xmlns:ds="http://schemas.openxmlformats.org/officeDocument/2006/customXml" ds:itemID="{0B98AB74-3CDC-48E0-83AA-0AE8E74326DB}"/>
</file>

<file path=customXml/itemProps3.xml><?xml version="1.0" encoding="utf-8"?>
<ds:datastoreItem xmlns:ds="http://schemas.openxmlformats.org/officeDocument/2006/customXml" ds:itemID="{260594AF-802D-4911-9C79-35D7AF0749E1}"/>
</file>

<file path=customXml/itemProps4.xml><?xml version="1.0" encoding="utf-8"?>
<ds:datastoreItem xmlns:ds="http://schemas.openxmlformats.org/officeDocument/2006/customXml" ds:itemID="{23B041F2-D519-4530-8360-4B447DBA2CDB}"/>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2</cp:revision>
  <cp:lastPrinted>2017-01-25T19:31:00Z</cp:lastPrinted>
  <dcterms:created xsi:type="dcterms:W3CDTF">2017-07-12T22:03:00Z</dcterms:created>
  <dcterms:modified xsi:type="dcterms:W3CDTF">2017-07-12T22:03:00Z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