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0D" w:rsidRPr="00875027" w:rsidRDefault="008B7103" w:rsidP="003B44C3">
      <w:pPr>
        <w:pStyle w:val="Ttulo"/>
        <w:spacing w:line="240" w:lineRule="auto"/>
        <w:rPr>
          <w:rFonts w:ascii="Soberana Sans" w:hAnsi="Soberana Sans"/>
          <w:sz w:val="18"/>
          <w:szCs w:val="18"/>
        </w:rPr>
      </w:pPr>
      <w:r w:rsidRPr="00875027">
        <w:rPr>
          <w:rFonts w:ascii="Soberana Sans" w:hAnsi="Soberana Sans"/>
          <w:sz w:val="18"/>
          <w:szCs w:val="18"/>
        </w:rPr>
        <w:t>TERCERA</w:t>
      </w:r>
      <w:r w:rsidR="00857C0D" w:rsidRPr="00875027">
        <w:rPr>
          <w:rFonts w:ascii="Soberana Sans" w:hAnsi="Soberana Sans"/>
          <w:sz w:val="18"/>
          <w:szCs w:val="18"/>
        </w:rPr>
        <w:t xml:space="preserve"> RESOLUCIÓN DE MODIFICACIONES A LA RESOLUC</w:t>
      </w:r>
      <w:r w:rsidR="00975605" w:rsidRPr="00875027">
        <w:rPr>
          <w:rFonts w:ascii="Soberana Sans" w:hAnsi="Soberana Sans"/>
          <w:sz w:val="18"/>
          <w:szCs w:val="18"/>
        </w:rPr>
        <w:t>IÓN MISCELÁNEA</w:t>
      </w:r>
      <w:r w:rsidR="00FB1AE1" w:rsidRPr="00875027">
        <w:rPr>
          <w:rFonts w:ascii="Soberana Sans" w:hAnsi="Soberana Sans"/>
          <w:sz w:val="18"/>
          <w:szCs w:val="18"/>
        </w:rPr>
        <w:t xml:space="preserve"> FISCAL PARA 2017</w:t>
      </w:r>
      <w:r w:rsidR="00D41E2E" w:rsidRPr="00875027">
        <w:rPr>
          <w:rFonts w:ascii="Soberana Sans" w:hAnsi="Soberana Sans"/>
          <w:sz w:val="18"/>
          <w:szCs w:val="18"/>
        </w:rPr>
        <w:t xml:space="preserve"> </w:t>
      </w:r>
      <w:r w:rsidR="002E5066" w:rsidRPr="00875027">
        <w:rPr>
          <w:rFonts w:ascii="Soberana Sans" w:hAnsi="Soberana Sans"/>
          <w:sz w:val="18"/>
          <w:szCs w:val="18"/>
        </w:rPr>
        <w:t>Y SU</w:t>
      </w:r>
      <w:r w:rsidR="002B28DE">
        <w:rPr>
          <w:rFonts w:ascii="Soberana Sans" w:hAnsi="Soberana Sans"/>
          <w:sz w:val="18"/>
          <w:szCs w:val="18"/>
        </w:rPr>
        <w:t>S</w:t>
      </w:r>
      <w:r w:rsidR="002E5066" w:rsidRPr="00875027">
        <w:rPr>
          <w:rFonts w:ascii="Soberana Sans" w:hAnsi="Soberana Sans"/>
          <w:sz w:val="18"/>
          <w:szCs w:val="18"/>
        </w:rPr>
        <w:t xml:space="preserve"> ANEXO</w:t>
      </w:r>
      <w:r w:rsidR="002B28DE">
        <w:rPr>
          <w:rFonts w:ascii="Soberana Sans" w:hAnsi="Soberana Sans"/>
          <w:sz w:val="18"/>
          <w:szCs w:val="18"/>
        </w:rPr>
        <w:t>S</w:t>
      </w:r>
      <w:r w:rsidR="002E5066" w:rsidRPr="00875027">
        <w:rPr>
          <w:rFonts w:ascii="Soberana Sans" w:hAnsi="Soberana Sans"/>
          <w:sz w:val="18"/>
          <w:szCs w:val="18"/>
        </w:rPr>
        <w:t xml:space="preserve"> 1-A</w:t>
      </w:r>
      <w:r w:rsidR="002B28DE">
        <w:rPr>
          <w:rFonts w:ascii="Soberana Sans" w:hAnsi="Soberana Sans"/>
          <w:sz w:val="18"/>
          <w:szCs w:val="18"/>
        </w:rPr>
        <w:t xml:space="preserve"> Y 3</w:t>
      </w:r>
    </w:p>
    <w:p w:rsidR="00857C0D" w:rsidRPr="00875027" w:rsidRDefault="00857C0D" w:rsidP="003B44C3">
      <w:pPr>
        <w:pStyle w:val="Textoindependiente"/>
        <w:rPr>
          <w:rFonts w:ascii="Soberana Sans" w:hAnsi="Soberana Sans"/>
          <w:sz w:val="18"/>
          <w:szCs w:val="18"/>
        </w:rPr>
      </w:pPr>
    </w:p>
    <w:p w:rsidR="00857C0D" w:rsidRPr="00875027" w:rsidRDefault="00857C0D" w:rsidP="003B44C3">
      <w:pPr>
        <w:pStyle w:val="Textoindependiente"/>
        <w:rPr>
          <w:rFonts w:ascii="Soberana Sans" w:hAnsi="Soberana Sans"/>
          <w:sz w:val="18"/>
          <w:szCs w:val="18"/>
        </w:rPr>
      </w:pPr>
    </w:p>
    <w:p w:rsidR="00857C0D" w:rsidRPr="00875027" w:rsidRDefault="00857C0D" w:rsidP="003B44C3">
      <w:pPr>
        <w:pStyle w:val="Textoindependiente"/>
        <w:rPr>
          <w:rFonts w:ascii="Soberana Sans" w:hAnsi="Soberana Sans"/>
          <w:sz w:val="18"/>
          <w:szCs w:val="18"/>
        </w:rPr>
      </w:pPr>
      <w:r w:rsidRPr="00875027">
        <w:rPr>
          <w:rFonts w:ascii="Soberana Sans" w:hAnsi="Soberana Sans"/>
          <w:sz w:val="18"/>
          <w:szCs w:val="18"/>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857C0D" w:rsidRPr="00875027" w:rsidRDefault="00857C0D" w:rsidP="003B44C3">
      <w:pPr>
        <w:pStyle w:val="Textoindependiente"/>
        <w:rPr>
          <w:rFonts w:ascii="Soberana Sans" w:hAnsi="Soberana Sans"/>
          <w:sz w:val="18"/>
          <w:szCs w:val="18"/>
        </w:rPr>
      </w:pPr>
    </w:p>
    <w:p w:rsidR="00857C0D" w:rsidRPr="00875027" w:rsidRDefault="00857C0D" w:rsidP="003B44C3">
      <w:pPr>
        <w:jc w:val="center"/>
        <w:rPr>
          <w:rFonts w:ascii="Soberana Sans" w:hAnsi="Soberana Sans" w:cs="Arial"/>
          <w:sz w:val="18"/>
          <w:szCs w:val="18"/>
        </w:rPr>
      </w:pPr>
    </w:p>
    <w:p w:rsidR="00857C0D" w:rsidRPr="00016475" w:rsidRDefault="00857C0D" w:rsidP="003B44C3">
      <w:pPr>
        <w:tabs>
          <w:tab w:val="left" w:pos="1134"/>
        </w:tabs>
        <w:jc w:val="both"/>
        <w:rPr>
          <w:rFonts w:ascii="Soberana Sans" w:hAnsi="Soberana Sans" w:cs="Arial"/>
          <w:sz w:val="18"/>
          <w:szCs w:val="18"/>
        </w:rPr>
      </w:pPr>
      <w:r w:rsidRPr="00016475">
        <w:rPr>
          <w:rFonts w:ascii="Soberana Sans" w:hAnsi="Soberana Sans" w:cs="Arial"/>
          <w:b/>
          <w:sz w:val="18"/>
          <w:szCs w:val="18"/>
        </w:rPr>
        <w:t>PRIMERO.</w:t>
      </w:r>
      <w:r w:rsidRPr="00016475">
        <w:rPr>
          <w:rFonts w:ascii="Soberana Sans" w:hAnsi="Soberana Sans" w:cs="Arial"/>
          <w:sz w:val="18"/>
          <w:szCs w:val="18"/>
        </w:rPr>
        <w:tab/>
        <w:t>Se</w:t>
      </w:r>
      <w:r w:rsidRPr="00016475">
        <w:rPr>
          <w:rFonts w:ascii="Soberana Sans" w:hAnsi="Soberana Sans" w:cs="Arial"/>
          <w:b/>
          <w:sz w:val="18"/>
          <w:szCs w:val="18"/>
        </w:rPr>
        <w:t xml:space="preserve"> </w:t>
      </w:r>
      <w:r w:rsidR="00462828" w:rsidRPr="00016475">
        <w:rPr>
          <w:rFonts w:ascii="Soberana Sans" w:hAnsi="Soberana Sans" w:cs="Arial"/>
          <w:b/>
          <w:sz w:val="18"/>
          <w:szCs w:val="18"/>
        </w:rPr>
        <w:t xml:space="preserve">reforman </w:t>
      </w:r>
      <w:r w:rsidR="00C07FE7" w:rsidRPr="00016475">
        <w:rPr>
          <w:rFonts w:ascii="Soberana Sans" w:hAnsi="Soberana Sans" w:cs="Arial"/>
          <w:sz w:val="18"/>
          <w:szCs w:val="18"/>
        </w:rPr>
        <w:t>las reglas 2.12.12.</w:t>
      </w:r>
      <w:r w:rsidR="005F1657" w:rsidRPr="00016475">
        <w:rPr>
          <w:rFonts w:ascii="Soberana Sans" w:hAnsi="Soberana Sans" w:cs="Arial"/>
          <w:sz w:val="18"/>
          <w:szCs w:val="18"/>
        </w:rPr>
        <w:t>, primer párrafo, Apartado A, primer párrafo</w:t>
      </w:r>
      <w:r w:rsidR="009364E6" w:rsidRPr="00016475">
        <w:rPr>
          <w:rFonts w:ascii="Soberana Sans" w:hAnsi="Soberana Sans" w:cs="Arial"/>
          <w:sz w:val="18"/>
          <w:szCs w:val="18"/>
        </w:rPr>
        <w:t>, penúltimo y último párrafos</w:t>
      </w:r>
      <w:r w:rsidR="00A15BD6" w:rsidRPr="00016475">
        <w:rPr>
          <w:rFonts w:ascii="Soberana Sans" w:hAnsi="Soberana Sans" w:cs="Arial"/>
          <w:sz w:val="18"/>
          <w:szCs w:val="18"/>
        </w:rPr>
        <w:t>, así como</w:t>
      </w:r>
      <w:r w:rsidR="009364E6" w:rsidRPr="00016475">
        <w:rPr>
          <w:rFonts w:ascii="Soberana Sans" w:hAnsi="Soberana Sans" w:cs="Arial"/>
          <w:sz w:val="18"/>
          <w:szCs w:val="18"/>
        </w:rPr>
        <w:t xml:space="preserve"> referencias</w:t>
      </w:r>
      <w:r w:rsidR="00C07FE7" w:rsidRPr="00016475">
        <w:rPr>
          <w:rFonts w:ascii="Soberana Sans" w:hAnsi="Soberana Sans" w:cs="Arial"/>
          <w:sz w:val="18"/>
          <w:szCs w:val="18"/>
        </w:rPr>
        <w:t xml:space="preserve">; </w:t>
      </w:r>
      <w:r w:rsidR="00E823D7" w:rsidRPr="00016475">
        <w:rPr>
          <w:rFonts w:ascii="Soberana Sans" w:hAnsi="Soberana Sans" w:cs="Arial"/>
          <w:sz w:val="18"/>
          <w:szCs w:val="18"/>
        </w:rPr>
        <w:t xml:space="preserve">11.7.1., fracción II; 11.7.2., fracción I, primer párrafo, incisos a) y c) y segundo párrafo; 11.7.3.; </w:t>
      </w:r>
      <w:r w:rsidR="00462828" w:rsidRPr="00016475">
        <w:rPr>
          <w:rFonts w:ascii="Soberana Sans" w:hAnsi="Soberana Sans" w:cs="Arial"/>
          <w:b/>
          <w:sz w:val="18"/>
          <w:szCs w:val="18"/>
        </w:rPr>
        <w:t>se</w:t>
      </w:r>
      <w:r w:rsidR="00462828" w:rsidRPr="00016475">
        <w:rPr>
          <w:rFonts w:ascii="Soberana Sans" w:hAnsi="Soberana Sans" w:cs="Arial"/>
          <w:sz w:val="18"/>
          <w:szCs w:val="18"/>
        </w:rPr>
        <w:t xml:space="preserve"> </w:t>
      </w:r>
      <w:r w:rsidR="00A67332" w:rsidRPr="00016475">
        <w:rPr>
          <w:rFonts w:ascii="Soberana Sans" w:hAnsi="Soberana Sans" w:cs="Arial"/>
          <w:b/>
          <w:sz w:val="18"/>
          <w:szCs w:val="18"/>
        </w:rPr>
        <w:t>adiciona</w:t>
      </w:r>
      <w:r w:rsidR="00462828" w:rsidRPr="00016475">
        <w:rPr>
          <w:rFonts w:ascii="Soberana Sans" w:hAnsi="Soberana Sans" w:cs="Arial"/>
          <w:b/>
          <w:sz w:val="18"/>
          <w:szCs w:val="18"/>
        </w:rPr>
        <w:t>n</w:t>
      </w:r>
      <w:r w:rsidR="003465DD" w:rsidRPr="00016475">
        <w:rPr>
          <w:rFonts w:ascii="Soberana Sans" w:hAnsi="Soberana Sans" w:cs="Arial"/>
          <w:sz w:val="18"/>
          <w:szCs w:val="18"/>
        </w:rPr>
        <w:t xml:space="preserve"> la</w:t>
      </w:r>
      <w:r w:rsidR="00462828" w:rsidRPr="00016475">
        <w:rPr>
          <w:rFonts w:ascii="Soberana Sans" w:hAnsi="Soberana Sans" w:cs="Arial"/>
          <w:sz w:val="18"/>
          <w:szCs w:val="18"/>
        </w:rPr>
        <w:t>s</w:t>
      </w:r>
      <w:r w:rsidR="003465DD" w:rsidRPr="00016475">
        <w:rPr>
          <w:rFonts w:ascii="Soberana Sans" w:hAnsi="Soberana Sans" w:cs="Arial"/>
          <w:sz w:val="18"/>
          <w:szCs w:val="18"/>
        </w:rPr>
        <w:t xml:space="preserve"> regla</w:t>
      </w:r>
      <w:r w:rsidR="00462828" w:rsidRPr="00016475">
        <w:rPr>
          <w:rFonts w:ascii="Soberana Sans" w:hAnsi="Soberana Sans" w:cs="Arial"/>
          <w:sz w:val="18"/>
          <w:szCs w:val="18"/>
        </w:rPr>
        <w:t>s</w:t>
      </w:r>
      <w:r w:rsidR="00EB7B64" w:rsidRPr="00016475">
        <w:rPr>
          <w:rFonts w:ascii="Soberana Sans" w:hAnsi="Soberana Sans" w:cs="Arial"/>
          <w:sz w:val="18"/>
          <w:szCs w:val="18"/>
        </w:rPr>
        <w:t xml:space="preserve"> </w:t>
      </w:r>
      <w:r w:rsidR="00DE2A11" w:rsidRPr="00016475">
        <w:rPr>
          <w:rFonts w:ascii="Soberana Sans" w:hAnsi="Soberana Sans" w:cs="Arial"/>
          <w:sz w:val="18"/>
          <w:szCs w:val="18"/>
        </w:rPr>
        <w:t>2.12.14.</w:t>
      </w:r>
      <w:r w:rsidR="00462828" w:rsidRPr="00016475">
        <w:rPr>
          <w:rFonts w:ascii="Soberana Sans" w:hAnsi="Soberana Sans" w:cs="Arial"/>
          <w:sz w:val="18"/>
          <w:szCs w:val="18"/>
        </w:rPr>
        <w:t xml:space="preserve">; </w:t>
      </w:r>
      <w:r w:rsidR="00A462F9" w:rsidRPr="00016475">
        <w:rPr>
          <w:rFonts w:ascii="Soberana Sans" w:hAnsi="Soberana Sans" w:cs="Arial"/>
          <w:sz w:val="18"/>
          <w:szCs w:val="18"/>
        </w:rPr>
        <w:t xml:space="preserve">3.21.3.9.; </w:t>
      </w:r>
      <w:r w:rsidR="00452BE1" w:rsidRPr="00016475">
        <w:rPr>
          <w:rFonts w:ascii="Soberana Sans" w:hAnsi="Soberana Sans" w:cs="Arial"/>
          <w:sz w:val="18"/>
          <w:szCs w:val="18"/>
        </w:rPr>
        <w:t>4.3.12.</w:t>
      </w:r>
      <w:r w:rsidR="002B28DE" w:rsidRPr="00016475">
        <w:rPr>
          <w:rFonts w:ascii="Soberana Sans" w:hAnsi="Soberana Sans" w:cs="Arial"/>
          <w:sz w:val="18"/>
          <w:szCs w:val="18"/>
        </w:rPr>
        <w:t xml:space="preserve">; </w:t>
      </w:r>
      <w:r w:rsidR="002B28DE" w:rsidRPr="00016475">
        <w:rPr>
          <w:rFonts w:ascii="Soberana Sans" w:hAnsi="Soberana Sans" w:cs="Arial"/>
          <w:b/>
          <w:sz w:val="18"/>
          <w:szCs w:val="18"/>
        </w:rPr>
        <w:t>se deroga</w:t>
      </w:r>
      <w:r w:rsidR="002B28DE" w:rsidRPr="00016475">
        <w:rPr>
          <w:rFonts w:ascii="Soberana Sans" w:hAnsi="Soberana Sans" w:cs="Arial"/>
          <w:sz w:val="18"/>
          <w:szCs w:val="18"/>
        </w:rPr>
        <w:t xml:space="preserve"> la regla 2.12.12., Apartado </w:t>
      </w:r>
      <w:r w:rsidR="006C0BF8" w:rsidRPr="00016475">
        <w:rPr>
          <w:rFonts w:ascii="Soberana Sans" w:hAnsi="Soberana Sans" w:cs="Arial"/>
          <w:sz w:val="18"/>
          <w:szCs w:val="18"/>
        </w:rPr>
        <w:t>B, de</w:t>
      </w:r>
      <w:r w:rsidRPr="00016475">
        <w:rPr>
          <w:rFonts w:ascii="Soberana Sans" w:hAnsi="Soberana Sans" w:cs="Arial"/>
          <w:sz w:val="18"/>
          <w:szCs w:val="18"/>
        </w:rPr>
        <w:t xml:space="preserve"> la Resolución Miscelánea Fiscal para 2017, para quedar de la siguiente manera:</w:t>
      </w:r>
    </w:p>
    <w:p w:rsidR="00E2621F" w:rsidRPr="00016475" w:rsidRDefault="00E2621F" w:rsidP="001B32E3">
      <w:pPr>
        <w:ind w:firstLine="708"/>
        <w:rPr>
          <w:rFonts w:ascii="Soberana Sans" w:hAnsi="Soberana Sans"/>
          <w:sz w:val="18"/>
          <w:szCs w:val="18"/>
        </w:rPr>
      </w:pPr>
    </w:p>
    <w:p w:rsidR="00C07FE7" w:rsidRPr="00542C4E" w:rsidRDefault="00C07FE7" w:rsidP="00C07FE7">
      <w:pPr>
        <w:pStyle w:val="Texto"/>
        <w:spacing w:line="232" w:lineRule="exact"/>
        <w:ind w:left="1440" w:firstLine="0"/>
        <w:rPr>
          <w:rFonts w:ascii="Soberana Sans" w:hAnsi="Soberana Sans"/>
          <w:b/>
          <w:szCs w:val="18"/>
        </w:rPr>
      </w:pPr>
      <w:r w:rsidRPr="00542C4E">
        <w:rPr>
          <w:rFonts w:ascii="Soberana Sans" w:hAnsi="Soberana Sans"/>
          <w:b/>
          <w:szCs w:val="18"/>
        </w:rPr>
        <w:t>Procedimiento para realizar aclaraciones a que se refiere el artículo 33-A del CFF</w:t>
      </w:r>
    </w:p>
    <w:p w:rsidR="00C07FE7" w:rsidRPr="00542C4E" w:rsidRDefault="00C07FE7" w:rsidP="005F1657">
      <w:pPr>
        <w:pStyle w:val="Texto"/>
        <w:spacing w:line="232" w:lineRule="exact"/>
        <w:ind w:left="1440" w:hanging="1152"/>
        <w:rPr>
          <w:rFonts w:ascii="Soberana Sans" w:hAnsi="Soberana Sans"/>
          <w:szCs w:val="18"/>
        </w:rPr>
      </w:pPr>
      <w:r w:rsidRPr="00542C4E">
        <w:rPr>
          <w:rFonts w:ascii="Soberana Sans" w:hAnsi="Soberana Sans"/>
          <w:b/>
          <w:szCs w:val="18"/>
        </w:rPr>
        <w:t>2.12.12.</w:t>
      </w:r>
      <w:r w:rsidRPr="00542C4E">
        <w:rPr>
          <w:rFonts w:ascii="Soberana Sans" w:hAnsi="Soberana Sans"/>
          <w:b/>
          <w:szCs w:val="18"/>
        </w:rPr>
        <w:tab/>
      </w:r>
      <w:r w:rsidRPr="00542C4E">
        <w:rPr>
          <w:rFonts w:ascii="Soberana Sans" w:hAnsi="Soberana Sans"/>
          <w:szCs w:val="18"/>
        </w:rPr>
        <w:t>Para efectos del artículo 33-A, primer párrafo del CFF, los contribuyentes podrán realizar solicitud</w:t>
      </w:r>
      <w:r w:rsidR="005F1657" w:rsidRPr="00542C4E">
        <w:rPr>
          <w:rFonts w:ascii="Soberana Sans" w:hAnsi="Soberana Sans"/>
          <w:szCs w:val="18"/>
        </w:rPr>
        <w:t>es</w:t>
      </w:r>
      <w:r w:rsidRPr="00542C4E">
        <w:rPr>
          <w:rFonts w:ascii="Soberana Sans" w:hAnsi="Soberana Sans"/>
          <w:szCs w:val="18"/>
        </w:rPr>
        <w:t xml:space="preserve"> de aclaración respecto de las resoluciones</w:t>
      </w:r>
      <w:r w:rsidR="00A1383D" w:rsidRPr="00542C4E">
        <w:rPr>
          <w:rFonts w:ascii="Soberana Sans" w:hAnsi="Soberana Sans"/>
          <w:szCs w:val="18"/>
        </w:rPr>
        <w:t xml:space="preserve"> </w:t>
      </w:r>
      <w:r w:rsidRPr="00542C4E">
        <w:rPr>
          <w:rFonts w:ascii="Soberana Sans" w:hAnsi="Soberana Sans"/>
          <w:szCs w:val="18"/>
        </w:rPr>
        <w:t>en las que se haga efectiva al contribuyente una cantidad igual al monto mayor que hubiera determinado a su cargo en cualquiera de las seis últimas declaraciones, en términos del artículo 41, párrafo primero, fracción II del CFF, siempre que:</w:t>
      </w:r>
    </w:p>
    <w:p w:rsidR="00A1383D" w:rsidRPr="00542C4E" w:rsidRDefault="00A1383D" w:rsidP="006C0BF8">
      <w:pPr>
        <w:pStyle w:val="Texto"/>
        <w:spacing w:line="232" w:lineRule="exact"/>
        <w:ind w:left="1440" w:firstLine="0"/>
        <w:rPr>
          <w:rFonts w:ascii="Soberana Sans" w:hAnsi="Soberana Sans"/>
          <w:szCs w:val="18"/>
        </w:rPr>
      </w:pPr>
      <w:r w:rsidRPr="00542C4E">
        <w:rPr>
          <w:rFonts w:ascii="Soberana Sans" w:hAnsi="Soberana Sans"/>
          <w:szCs w:val="18"/>
        </w:rPr>
        <w:t>……………………………………………………………………………………………………………</w:t>
      </w:r>
      <w:r w:rsidR="00562E4B" w:rsidRPr="00542C4E">
        <w:rPr>
          <w:rFonts w:ascii="Soberana Sans" w:hAnsi="Soberana Sans"/>
          <w:szCs w:val="18"/>
        </w:rPr>
        <w:t>…………………………………</w:t>
      </w:r>
      <w:r w:rsidRPr="00542C4E">
        <w:rPr>
          <w:rFonts w:ascii="Soberana Sans" w:hAnsi="Soberana Sans"/>
          <w:szCs w:val="18"/>
        </w:rPr>
        <w:t>………………………….</w:t>
      </w:r>
    </w:p>
    <w:p w:rsidR="005F1657" w:rsidRPr="00542C4E" w:rsidRDefault="00C07FE7" w:rsidP="005F1657">
      <w:pPr>
        <w:pStyle w:val="Texto"/>
        <w:tabs>
          <w:tab w:val="left" w:pos="1843"/>
        </w:tabs>
        <w:spacing w:after="80" w:line="218" w:lineRule="exact"/>
        <w:ind w:left="1440" w:firstLine="0"/>
        <w:rPr>
          <w:rFonts w:ascii="Soberana Sans" w:hAnsi="Soberana Sans"/>
          <w:szCs w:val="18"/>
        </w:rPr>
      </w:pPr>
      <w:r w:rsidRPr="00542C4E">
        <w:rPr>
          <w:rFonts w:ascii="Soberana Sans" w:hAnsi="Soberana Sans"/>
          <w:b/>
          <w:szCs w:val="18"/>
        </w:rPr>
        <w:t>B</w:t>
      </w:r>
      <w:r w:rsidRPr="00542C4E">
        <w:rPr>
          <w:rFonts w:ascii="Soberana Sans" w:hAnsi="Soberana Sans"/>
          <w:szCs w:val="18"/>
        </w:rPr>
        <w:t>.</w:t>
      </w:r>
      <w:r w:rsidRPr="00542C4E">
        <w:rPr>
          <w:rFonts w:ascii="Soberana Sans" w:hAnsi="Soberana Sans"/>
          <w:szCs w:val="18"/>
        </w:rPr>
        <w:tab/>
      </w:r>
      <w:r w:rsidR="001C7DAB" w:rsidRPr="00542C4E">
        <w:rPr>
          <w:rFonts w:ascii="Soberana Sans" w:hAnsi="Soberana Sans"/>
          <w:b/>
          <w:szCs w:val="18"/>
        </w:rPr>
        <w:t>(Se deroga)</w:t>
      </w:r>
    </w:p>
    <w:p w:rsidR="00C07FE7" w:rsidRPr="00542C4E" w:rsidRDefault="009364E6" w:rsidP="009364E6">
      <w:pPr>
        <w:pStyle w:val="Texto"/>
        <w:spacing w:after="80" w:line="218" w:lineRule="exact"/>
        <w:ind w:left="1440" w:hanging="22"/>
        <w:rPr>
          <w:rFonts w:ascii="Soberana Sans" w:hAnsi="Soberana Sans"/>
          <w:szCs w:val="18"/>
        </w:rPr>
      </w:pPr>
      <w:r w:rsidRPr="00542C4E">
        <w:rPr>
          <w:rFonts w:ascii="Soberana Sans" w:hAnsi="Soberana Sans"/>
          <w:szCs w:val="18"/>
        </w:rPr>
        <w:t>………………………………………………………………………………………………………………………………………………………………………….</w:t>
      </w:r>
    </w:p>
    <w:p w:rsidR="00C07FE7" w:rsidRPr="00542C4E" w:rsidRDefault="00C07FE7" w:rsidP="005F1657">
      <w:pPr>
        <w:pStyle w:val="Texto"/>
        <w:spacing w:after="80" w:line="218" w:lineRule="exact"/>
        <w:ind w:left="1440" w:firstLine="0"/>
        <w:rPr>
          <w:rFonts w:ascii="Soberana Sans" w:hAnsi="Soberana Sans"/>
          <w:szCs w:val="18"/>
        </w:rPr>
      </w:pPr>
      <w:r w:rsidRPr="00542C4E">
        <w:rPr>
          <w:rFonts w:ascii="Soberana Sans" w:hAnsi="Soberana Sans"/>
          <w:szCs w:val="18"/>
        </w:rPr>
        <w:t>En términos del segundo párrafo del citado artículo 33-A del CFF, las resoluciones que deriven del procedimiento previsto en esta regla no constituyen instancia, por lo que las mismas no podrán ser impugnadas por el contribuyente, ni será procedente la presentación de acuerdos conclusivos.</w:t>
      </w:r>
    </w:p>
    <w:p w:rsidR="00C07FE7" w:rsidRPr="00542C4E" w:rsidRDefault="00C07FE7" w:rsidP="005F1657">
      <w:pPr>
        <w:pStyle w:val="Texto"/>
        <w:spacing w:after="80" w:line="218" w:lineRule="exact"/>
        <w:ind w:left="1440" w:firstLine="0"/>
        <w:rPr>
          <w:rFonts w:ascii="Soberana Sans" w:hAnsi="Soberana Sans"/>
          <w:szCs w:val="18"/>
        </w:rPr>
      </w:pPr>
      <w:r w:rsidRPr="00542C4E">
        <w:rPr>
          <w:rFonts w:ascii="Soberana Sans" w:hAnsi="Soberana Sans"/>
          <w:szCs w:val="18"/>
        </w:rPr>
        <w:t>Lo dispuesto en esta regla no es aplicable tratándose de contribuyentes a los que se les haya aplicado la presunción establecida en el artículo 69-B del CFF, una vez que se haya publicado en el DOF y en el Portal del SAT el listado a que se refiere el tercer párrafo del citado artículo.</w:t>
      </w:r>
    </w:p>
    <w:p w:rsidR="00C07FE7" w:rsidRPr="00C07FE7" w:rsidRDefault="00C07FE7" w:rsidP="00C07FE7">
      <w:pPr>
        <w:pStyle w:val="Texto"/>
        <w:spacing w:after="80" w:line="218" w:lineRule="exact"/>
        <w:ind w:left="1440" w:firstLine="0"/>
        <w:rPr>
          <w:rFonts w:ascii="Soberana Sans" w:hAnsi="Soberana Sans"/>
          <w:i/>
          <w:szCs w:val="18"/>
        </w:rPr>
      </w:pPr>
      <w:r w:rsidRPr="00542C4E">
        <w:rPr>
          <w:rFonts w:ascii="Soberana Sans" w:hAnsi="Soberana Sans"/>
          <w:i/>
          <w:szCs w:val="18"/>
        </w:rPr>
        <w:t>CFF 33-A, 41</w:t>
      </w:r>
      <w:r w:rsidR="009364E6" w:rsidRPr="00542C4E">
        <w:rPr>
          <w:rFonts w:ascii="Soberana Sans" w:hAnsi="Soberana Sans"/>
          <w:i/>
          <w:szCs w:val="18"/>
        </w:rPr>
        <w:t xml:space="preserve">, </w:t>
      </w:r>
      <w:r w:rsidRPr="00542C4E">
        <w:rPr>
          <w:rFonts w:ascii="Soberana Sans" w:hAnsi="Soberana Sans"/>
          <w:i/>
          <w:szCs w:val="18"/>
        </w:rPr>
        <w:t>69-B</w:t>
      </w:r>
    </w:p>
    <w:p w:rsidR="00D66B34" w:rsidRPr="00875027" w:rsidRDefault="00D66B34" w:rsidP="00D66B34">
      <w:pPr>
        <w:spacing w:after="80" w:line="220" w:lineRule="atLeast"/>
        <w:ind w:firstLine="1418"/>
        <w:jc w:val="both"/>
        <w:rPr>
          <w:rFonts w:ascii="Soberana Sans" w:hAnsi="Soberana Sans"/>
          <w:b/>
          <w:sz w:val="18"/>
          <w:szCs w:val="18"/>
        </w:rPr>
      </w:pPr>
      <w:r w:rsidRPr="00875027">
        <w:rPr>
          <w:rFonts w:ascii="Soberana Sans" w:hAnsi="Soberana Sans"/>
          <w:b/>
          <w:sz w:val="18"/>
          <w:szCs w:val="18"/>
        </w:rPr>
        <w:t xml:space="preserve">Coeficiente de utilidad, no resulta aplicable a depósitos bancarios </w:t>
      </w:r>
    </w:p>
    <w:p w:rsidR="00D66B34" w:rsidRPr="00875027" w:rsidRDefault="00D66B34" w:rsidP="00D66B34">
      <w:pPr>
        <w:spacing w:after="80" w:line="220" w:lineRule="atLeast"/>
        <w:ind w:left="1418" w:hanging="1134"/>
        <w:jc w:val="both"/>
        <w:rPr>
          <w:rFonts w:ascii="Soberana Sans" w:hAnsi="Soberana Sans"/>
          <w:sz w:val="18"/>
          <w:szCs w:val="18"/>
        </w:rPr>
      </w:pPr>
      <w:r w:rsidRPr="00875027">
        <w:rPr>
          <w:rFonts w:ascii="Soberana Sans" w:hAnsi="Soberana Sans"/>
          <w:b/>
          <w:sz w:val="18"/>
          <w:szCs w:val="18"/>
        </w:rPr>
        <w:t>2.12.14.</w:t>
      </w:r>
      <w:r w:rsidRPr="00875027">
        <w:rPr>
          <w:rFonts w:ascii="Soberana Sans" w:hAnsi="Soberana Sans"/>
          <w:sz w:val="18"/>
          <w:szCs w:val="18"/>
        </w:rPr>
        <w:tab/>
        <w:t>Para los efectos del artículo 59, fracción III del CFF, se considera que tratándose de depósitos en la cuenta bancaria del contribuyente que no correspondan a registros de su contabilidad que esté obligado a llevar, o bien se trate de depósitos que se ubiquen en el supuesto del tercer párrafo de la citada fracción III del referido numeral, no es aplicable lo establecido en el artículo 58 del CFF, o, en su caso, el artículo 90 de la Ley del ISR vigente hasta el 31 de diciembre de 2013, salvo que los depósitos formen parte de la utilidad determinada en forma presuntiva de conformidad con los artículos 55 y 56 del CFF.</w:t>
      </w:r>
    </w:p>
    <w:p w:rsidR="00D66B34" w:rsidRPr="00875027" w:rsidRDefault="00D66B34" w:rsidP="00D66B34">
      <w:pPr>
        <w:spacing w:after="80" w:line="220" w:lineRule="atLeast"/>
        <w:ind w:left="1418"/>
        <w:jc w:val="both"/>
        <w:rPr>
          <w:rFonts w:ascii="Soberana Sans" w:hAnsi="Soberana Sans"/>
          <w:sz w:val="18"/>
          <w:szCs w:val="18"/>
        </w:rPr>
      </w:pPr>
      <w:r w:rsidRPr="00875027">
        <w:rPr>
          <w:rFonts w:ascii="Soberana Sans" w:hAnsi="Soberana Sans"/>
          <w:sz w:val="18"/>
          <w:szCs w:val="18"/>
        </w:rPr>
        <w:t>Lo dispuesto en esta regla no dará lugar a devolución, compensación, acreditamiento o saldo a favor alguno.</w:t>
      </w:r>
    </w:p>
    <w:p w:rsidR="00D66B34" w:rsidRPr="00875027" w:rsidRDefault="00D66B34" w:rsidP="00D66B34">
      <w:pPr>
        <w:pStyle w:val="Texto"/>
        <w:spacing w:after="80" w:line="220" w:lineRule="atLeast"/>
        <w:ind w:left="1440" w:hanging="22"/>
        <w:rPr>
          <w:rFonts w:ascii="Soberana Sans" w:hAnsi="Soberana Sans"/>
          <w:i/>
          <w:szCs w:val="18"/>
        </w:rPr>
      </w:pPr>
      <w:r w:rsidRPr="00875027">
        <w:rPr>
          <w:rFonts w:ascii="Soberana Sans" w:hAnsi="Soberana Sans"/>
          <w:i/>
          <w:szCs w:val="18"/>
        </w:rPr>
        <w:t>CFF 58, 59</w:t>
      </w:r>
    </w:p>
    <w:p w:rsidR="00D66B34" w:rsidRPr="00875027" w:rsidRDefault="00D66B34" w:rsidP="00D66B34">
      <w:pPr>
        <w:pStyle w:val="Texto"/>
        <w:spacing w:after="75" w:line="208" w:lineRule="exact"/>
        <w:ind w:left="1440" w:hanging="22"/>
        <w:rPr>
          <w:rFonts w:ascii="Soberana Sans" w:hAnsi="Soberana Sans"/>
          <w:b/>
          <w:szCs w:val="18"/>
        </w:rPr>
      </w:pPr>
      <w:r w:rsidRPr="00875027">
        <w:rPr>
          <w:rFonts w:ascii="Soberana Sans" w:hAnsi="Soberana Sans"/>
          <w:b/>
          <w:szCs w:val="18"/>
        </w:rPr>
        <w:t>Inversión de los fideicomisos de inversión en energía e infraestructura en fideicomisos de empresas productivas del Estado en la industria eléctrica o sus empresas productivas subsidiarias</w:t>
      </w:r>
    </w:p>
    <w:p w:rsidR="00D66B34" w:rsidRPr="00875027" w:rsidRDefault="00A462F9" w:rsidP="00D66B34">
      <w:pPr>
        <w:pStyle w:val="Texto"/>
        <w:spacing w:after="75" w:line="208" w:lineRule="exact"/>
        <w:ind w:left="1418" w:hanging="1134"/>
        <w:rPr>
          <w:rFonts w:ascii="Soberana Sans" w:eastAsia="Calibri" w:hAnsi="Soberana Sans"/>
          <w:szCs w:val="18"/>
          <w:lang w:val="es-ES_tradnl"/>
        </w:rPr>
      </w:pPr>
      <w:r w:rsidRPr="00875027">
        <w:rPr>
          <w:rFonts w:ascii="Soberana Sans" w:hAnsi="Soberana Sans"/>
          <w:b/>
          <w:szCs w:val="18"/>
        </w:rPr>
        <w:t>3.21.3.9.</w:t>
      </w:r>
      <w:r w:rsidR="00D66B34" w:rsidRPr="00875027">
        <w:rPr>
          <w:rFonts w:ascii="Soberana Sans" w:hAnsi="Soberana Sans"/>
          <w:szCs w:val="18"/>
        </w:rPr>
        <w:tab/>
      </w:r>
      <w:r w:rsidR="00D66B34" w:rsidRPr="00875027">
        <w:rPr>
          <w:rFonts w:ascii="Soberana Sans" w:eastAsia="Calibri" w:hAnsi="Soberana Sans"/>
          <w:szCs w:val="18"/>
          <w:lang w:val="es-ES_tradnl"/>
        </w:rPr>
        <w:t xml:space="preserve">Para los efectos de la regla 3.21.3.2., fracción II, en lugar del requisito a que se refiere el artículo 187, primer párrafo y su fracción II de la Ley del ISR, el fin primordial del fideicomiso de inversión en energía e infraestructura que cumpla los requisitos previstos en dicha regla podrá ser invertir en derechos fideicomisarios, certificados de participación u otros títulos de crédito que </w:t>
      </w:r>
      <w:r w:rsidR="00D66B34" w:rsidRPr="00875027">
        <w:rPr>
          <w:rFonts w:ascii="Soberana Sans" w:eastAsia="Calibri" w:hAnsi="Soberana Sans"/>
          <w:szCs w:val="18"/>
          <w:lang w:val="es-ES_tradnl"/>
        </w:rPr>
        <w:lastRenderedPageBreak/>
        <w:t>representen derechos fideicomisarios de fideicomisos constituidos por empresas productivas del Estado en la industria eléctrica o sus empresas productivas subsidiarias, siempre que se cumplan los requisitos previstos en la regla 3.21.3.2., en los términos establecidos en esta regla.</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t>Para los efectos de las reglas 3.21.3.2. y 3.21.3.3., cuando se haga referencia a las personas morales que sean objeto de inversión de los fideicomisos que cumplan los requisitos previstos en la regla 3.21.3.2., a los accionistas y a las acciones de dichas personas morales, se entenderá que se refiere al fideicomiso objeto de inversión a que se refiere esta regla, a los fideicomitentes, fideicomisarios o titulares de derechos fideicomisarios, certificados de participación u otros títulos de crédito que representen derechos fideicomisarios de dicho fideicomiso objeto de inversión, y a los derechos fideicomisarios, certificados de participación u otros títulos de crédito que representen derechos fideicomisarios de dicho fideicomiso objeto de inversión, respectivamente.</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t>Para los efectos de la regla 2.1.47., cuando se haga referencia a la persona moral a la cual fueron aportados bienes consistentes en terrenos, activos fijos y gastos diferidos, y a las acciones de dicha persona moral, se entenderá que también se refiere al fideicomiso objeto de inversión a que se refiere esta regla y a los derechos fideicomisarios, certificados de participación u otros títulos de crédito que representen derechos fideicomisarios de dicho fideicomiso objeto de inversión, respectivamente.</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t>Para los efectos de la regla 3.21.3.2., fracción II, inciso a), con excepción de los fideicomisos que cumplan los requisitos previstos en dicha regla, los titulares de los derechos fideicomisarios, certificados de participación u otros títulos de crédito que representen derechos fideicomisarios de los fideicomisos objeto de inversión a que se refiere esta regla, únicamente podrán ser las empresas productivas del Estado en la industria eléctrica o sus empresas productivas subsidiarias, cuando sean estas últimas las que presten el servicio público de transmisión o distribución de energía eléctrica, que los constituyeron.</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t>Se considerará que los fideicomisos objeto de inversión a que se refiere esta regla cumplen con el requisito previsto en la regla 3.21.3.2., fracción II, inciso b), cuando su actividad exclusiva sea la captación de los flujos de efectivo provenientes de los derechos de cobro, que sean parte del patrimonio de dichos fideicomisos, bajo un convenio para la prestación y facturación del servicio público de transmisión o de distribución de energía eléctrica, que celebre el Centro Nacional de Control de Energía y las empresas productivas del Estado o sus empresas productivas subsidiarias, que presten el servicio público de transmisión o distribución de energía eléctrica y que cumplan con los requisitos previstos en dicha fracción.</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t>Se considerará que los fideicomisos objeto de inversión a que se refiere esta regla cumplen con los requisitos de la regla 3.21.3.2., fracción II, inciso c), siempre que al menos el 75% del valor contable promedio anual de sus activos no monetarios esté invertido en los derechos de cobro a que se refiere el párrafo anterior.</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t>Para los efectos de la regla 3.21.3.3., fracción IV, inciso a), se determinará la ganancia o pérdida en la enajenación de los derechos de cobro que sean parte del patrimonio del fideicomiso objeto de inversión a que se refiere esta regla, cuyos derechos fideicomisarios, certificados de participación u otros títulos de crédito que representen derechos fideicomisarios se enajenan, solamente para los efectos de determinación del ISR, como si en lugar de haber enajenado dichos derechos fideicomisarios, certificados de participación u otros títulos de crédito que representen derechos fideicomisarios, hubieran enajenado proporcionalmente dichos derechos de cobro. Para estos efectos, se considera que el monto original de la inversión de los derechos de cobro no podrá ser superior al precio de enajenación que cumpla con lo señalado en la regla 3.21.3.3., fracción IV, inciso a), primer párrafo.</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t>Para los efectos de la regla 3.21.3.3., fracción IV, inciso f), el diferimiento en la acumulación de la ganancia a que se refieren los incisos d) y e) de dicha fracción, terminará también cuando ocurra la terminación del fideicomiso objeto de inversión a que se refiere esta regla, en cuyo caso el fideicomitente del fideicomiso que cumpla los requisitos previstos en la regla 3.21.3.2. que haya transmitido los derechos fideicomisarios, certificados de participación u otros títulos de crédito que representen derechos fideicomisarios deberá reconocer como ingreso acumulable el remanente de la ganancia que a esa fecha se encuentre diferida.</w:t>
      </w:r>
    </w:p>
    <w:p w:rsidR="00D66B34" w:rsidRPr="00875027" w:rsidRDefault="00D66B34" w:rsidP="00D66B34">
      <w:pPr>
        <w:pStyle w:val="Texto"/>
        <w:spacing w:after="75" w:line="208" w:lineRule="exact"/>
        <w:ind w:left="1418" w:hanging="2"/>
        <w:rPr>
          <w:rFonts w:ascii="Soberana Sans" w:eastAsia="Calibri" w:hAnsi="Soberana Sans"/>
          <w:szCs w:val="18"/>
          <w:lang w:val="es-ES_tradnl"/>
        </w:rPr>
      </w:pPr>
      <w:r w:rsidRPr="00875027">
        <w:rPr>
          <w:rFonts w:ascii="Soberana Sans" w:eastAsia="Calibri" w:hAnsi="Soberana Sans"/>
          <w:szCs w:val="18"/>
          <w:lang w:val="es-ES_tradnl"/>
        </w:rPr>
        <w:lastRenderedPageBreak/>
        <w:t xml:space="preserve">Para los efectos de los artículos 9, 13, primer, tercer y noveno párrafos y 14 de la Ley del ISR, las empresas productivas del Estado en la industria eléctrica o sus empresas productivas subsidiarias que hayan constituido un fideicomiso objeto de inversión al que hayan transferido los derechos de cobro a que se refiere esta regla, no considerarán ingresos acumulables la parte de los ingresos que les correspondería por los servicios de transmisión o distribución facturados, en la parte proporcional correspondiente a dichos derechos de cobro que hayan transferido a dicho fideicomiso objeto de inversión, ni estarán obligadas a efectuar pagos provisionales a cuenta del ISR del ejercicio respecto de dichos ingresos. </w:t>
      </w:r>
    </w:p>
    <w:p w:rsidR="00D66B34" w:rsidRPr="00875027" w:rsidRDefault="00D66B34" w:rsidP="00D66B34">
      <w:pPr>
        <w:pStyle w:val="Texto"/>
        <w:spacing w:after="75" w:line="208" w:lineRule="exact"/>
        <w:ind w:left="1418" w:hanging="2"/>
        <w:rPr>
          <w:rFonts w:ascii="Soberana Sans" w:hAnsi="Soberana Sans"/>
          <w:szCs w:val="18"/>
        </w:rPr>
      </w:pPr>
      <w:r w:rsidRPr="00875027">
        <w:rPr>
          <w:rFonts w:ascii="Soberana Sans" w:eastAsia="Calibri" w:hAnsi="Soberana Sans"/>
          <w:szCs w:val="18"/>
          <w:lang w:val="es-ES_tradnl"/>
        </w:rPr>
        <w:t xml:space="preserve">Para los efectos de realizar el cálculo del ISR del ejercicio a cargo de las empresas productivas del Estado en la industria eléctrica o sus empresas productivas subsidiarias, se considerará como ingreso acumulable la parte del resultado fiscal del ejercicio fiscal de que se trate que les sea distribuido por los fideicomisos objeto de inversión a que se refiere esta regla o los fideicomisos que cumplan los requisitos previstos en la regla 3.21.3.2., cuando sean titulares o tenedoras de derechos fideicomisarios, certificados de participación u otros títulos de crédito que representen derechos fideicomisarios de los fideicomisos objeto de inversión, o sean titulares o tenedoras de certificados bursátiles fiduciarios de los fideicomisos que cumplan los requisitos previstos en la regla 3.21.3.2. </w:t>
      </w:r>
    </w:p>
    <w:p w:rsidR="00D66B34" w:rsidRPr="00875027" w:rsidRDefault="00D66B34" w:rsidP="00D66B34">
      <w:pPr>
        <w:ind w:left="708" w:firstLine="708"/>
        <w:rPr>
          <w:rFonts w:ascii="Soberana Sans" w:eastAsia="Calibri" w:hAnsi="Soberana Sans" w:cs="Arial"/>
          <w:i/>
          <w:sz w:val="18"/>
          <w:szCs w:val="18"/>
          <w:lang w:val="es-ES_tradnl"/>
        </w:rPr>
      </w:pPr>
      <w:r w:rsidRPr="00875027">
        <w:rPr>
          <w:rFonts w:ascii="Soberana Sans" w:eastAsia="Calibri" w:hAnsi="Soberana Sans" w:cs="Arial"/>
          <w:i/>
          <w:sz w:val="18"/>
          <w:szCs w:val="18"/>
          <w:lang w:val="es-ES_tradnl"/>
        </w:rPr>
        <w:t>LISR 9, 13, 14, 187, RMF 2017 3.21.3.2., 3.21.3.3.</w:t>
      </w:r>
    </w:p>
    <w:p w:rsidR="00D66B34" w:rsidRPr="00875027" w:rsidRDefault="00D66B34" w:rsidP="00D66B34">
      <w:pPr>
        <w:pStyle w:val="Texto"/>
        <w:spacing w:after="75" w:line="208" w:lineRule="exact"/>
        <w:ind w:left="1440" w:hanging="22"/>
        <w:rPr>
          <w:rFonts w:ascii="Soberana Sans" w:hAnsi="Soberana Sans"/>
          <w:b/>
          <w:szCs w:val="18"/>
        </w:rPr>
      </w:pPr>
      <w:r w:rsidRPr="00875027">
        <w:rPr>
          <w:rFonts w:ascii="Soberana Sans" w:hAnsi="Soberana Sans"/>
          <w:b/>
          <w:szCs w:val="18"/>
        </w:rPr>
        <w:t>Inversión de los fideicomisos de inversión en energía e infraestructura en fideicomisos de empresas productivas del Estado en la industria eléctrica o sus empresas productivas subsidiarias</w:t>
      </w:r>
    </w:p>
    <w:p w:rsidR="00D66B34" w:rsidRPr="00875027" w:rsidRDefault="00236486" w:rsidP="00D66B34">
      <w:pPr>
        <w:pStyle w:val="Texto"/>
        <w:spacing w:after="75" w:line="208" w:lineRule="exact"/>
        <w:ind w:left="1418" w:hanging="1134"/>
        <w:rPr>
          <w:rFonts w:ascii="Soberana Sans" w:hAnsi="Soberana Sans"/>
          <w:szCs w:val="18"/>
        </w:rPr>
      </w:pPr>
      <w:r w:rsidRPr="00875027">
        <w:rPr>
          <w:rFonts w:ascii="Soberana Sans" w:hAnsi="Soberana Sans"/>
          <w:b/>
          <w:szCs w:val="18"/>
        </w:rPr>
        <w:t>4.3.12</w:t>
      </w:r>
      <w:r w:rsidR="00D66B34" w:rsidRPr="00875027">
        <w:rPr>
          <w:rFonts w:ascii="Soberana Sans" w:hAnsi="Soberana Sans"/>
          <w:b/>
          <w:szCs w:val="18"/>
        </w:rPr>
        <w:t>.</w:t>
      </w:r>
      <w:r w:rsidR="00D66B34" w:rsidRPr="00875027">
        <w:rPr>
          <w:rFonts w:ascii="Soberana Sans" w:hAnsi="Soberana Sans"/>
          <w:szCs w:val="18"/>
        </w:rPr>
        <w:tab/>
      </w:r>
      <w:r w:rsidR="00D66B34" w:rsidRPr="00875027">
        <w:rPr>
          <w:rFonts w:ascii="Soberana Sans" w:eastAsia="Calibri" w:hAnsi="Soberana Sans"/>
          <w:szCs w:val="18"/>
          <w:lang w:val="es-ES_tradnl"/>
        </w:rPr>
        <w:t>Para los efectos del artículo 9, fracción VII de la Ley del IVA, e</w:t>
      </w:r>
      <w:r w:rsidR="00A462F9" w:rsidRPr="00875027">
        <w:rPr>
          <w:rFonts w:ascii="Soberana Sans" w:eastAsia="Calibri" w:hAnsi="Soberana Sans"/>
          <w:szCs w:val="18"/>
          <w:lang w:val="es-ES_tradnl"/>
        </w:rPr>
        <w:t>n relación con la regla 3.21.3.9</w:t>
      </w:r>
      <w:r w:rsidR="00D66B34" w:rsidRPr="00875027">
        <w:rPr>
          <w:rFonts w:ascii="Soberana Sans" w:eastAsia="Calibri" w:hAnsi="Soberana Sans"/>
          <w:szCs w:val="18"/>
          <w:lang w:val="es-ES_tradnl"/>
        </w:rPr>
        <w:t>, no se pagará el IVA por la enajenación de derechos fideicomisarios que se realice en los términos d</w:t>
      </w:r>
      <w:r w:rsidR="00A462F9" w:rsidRPr="00875027">
        <w:rPr>
          <w:rFonts w:ascii="Soberana Sans" w:eastAsia="Calibri" w:hAnsi="Soberana Sans"/>
          <w:szCs w:val="18"/>
          <w:lang w:val="es-ES_tradnl"/>
        </w:rPr>
        <w:t>e las reglas 3.21.3.3 y 3.21.3.9</w:t>
      </w:r>
      <w:r w:rsidR="00D66B34" w:rsidRPr="00875027">
        <w:rPr>
          <w:rFonts w:ascii="Soberana Sans" w:eastAsia="Calibri" w:hAnsi="Soberana Sans"/>
          <w:szCs w:val="18"/>
          <w:lang w:val="es-ES_tradnl"/>
        </w:rPr>
        <w:t>. entre las empresas productivas del Estado en la industria eléctrica o sus empresas productivas subsidiarias y los fideicomisos que cumplan los requisitos previstos en la regla 3.21.3.2.</w:t>
      </w:r>
    </w:p>
    <w:p w:rsidR="00D66B34" w:rsidRPr="00875027" w:rsidRDefault="00D66B34" w:rsidP="00D66B34">
      <w:pPr>
        <w:tabs>
          <w:tab w:val="left" w:pos="1418"/>
        </w:tabs>
        <w:spacing w:after="80" w:line="220" w:lineRule="atLeast"/>
        <w:ind w:left="1418"/>
        <w:jc w:val="both"/>
        <w:rPr>
          <w:rFonts w:ascii="Soberana Sans" w:eastAsia="Calibri" w:hAnsi="Soberana Sans" w:cs="Arial"/>
          <w:i/>
          <w:sz w:val="18"/>
          <w:szCs w:val="18"/>
          <w:lang w:val="es-ES_tradnl"/>
        </w:rPr>
      </w:pPr>
      <w:r w:rsidRPr="00875027">
        <w:rPr>
          <w:rFonts w:ascii="Soberana Sans" w:eastAsia="Calibri" w:hAnsi="Soberana Sans" w:cs="Arial"/>
          <w:i/>
          <w:sz w:val="18"/>
          <w:szCs w:val="18"/>
          <w:lang w:val="es-ES_tradnl"/>
        </w:rPr>
        <w:t>LIVA 9, RMF 201</w:t>
      </w:r>
      <w:r w:rsidR="00A462F9" w:rsidRPr="00875027">
        <w:rPr>
          <w:rFonts w:ascii="Soberana Sans" w:eastAsia="Calibri" w:hAnsi="Soberana Sans" w:cs="Arial"/>
          <w:i/>
          <w:sz w:val="18"/>
          <w:szCs w:val="18"/>
          <w:lang w:val="es-ES_tradnl"/>
        </w:rPr>
        <w:t>7 3.21.3.2., 3.21.3.3., 3.21.3.9</w:t>
      </w:r>
      <w:r w:rsidRPr="00875027">
        <w:rPr>
          <w:rFonts w:ascii="Soberana Sans" w:eastAsia="Calibri" w:hAnsi="Soberana Sans" w:cs="Arial"/>
          <w:i/>
          <w:sz w:val="18"/>
          <w:szCs w:val="18"/>
          <w:lang w:val="es-ES_tradnl"/>
        </w:rPr>
        <w:t>.</w:t>
      </w:r>
    </w:p>
    <w:p w:rsidR="00D66B34" w:rsidRPr="00875027" w:rsidRDefault="00D66B34" w:rsidP="00D66B34">
      <w:pPr>
        <w:tabs>
          <w:tab w:val="left" w:pos="1418"/>
        </w:tabs>
        <w:spacing w:after="66" w:line="212" w:lineRule="exact"/>
        <w:ind w:left="1418"/>
        <w:jc w:val="both"/>
        <w:rPr>
          <w:rFonts w:ascii="Soberana Sans" w:hAnsi="Soberana Sans" w:cs="Arial"/>
          <w:b/>
          <w:sz w:val="18"/>
          <w:szCs w:val="18"/>
        </w:rPr>
      </w:pPr>
      <w:r w:rsidRPr="00875027">
        <w:rPr>
          <w:rFonts w:ascii="Soberana Sans" w:hAnsi="Soberana Sans" w:cs="Arial"/>
          <w:b/>
          <w:sz w:val="18"/>
          <w:szCs w:val="18"/>
        </w:rPr>
        <w:t>Estímulo fiscal a los contribuyentes que enajenen gasolina y diésel a los integrantes del sector pesquero y agropecuario</w:t>
      </w:r>
    </w:p>
    <w:p w:rsidR="00D66B34" w:rsidRPr="00875027" w:rsidRDefault="00D66B34" w:rsidP="00F264CE">
      <w:pPr>
        <w:tabs>
          <w:tab w:val="left" w:pos="142"/>
        </w:tabs>
        <w:spacing w:after="66" w:line="212" w:lineRule="exact"/>
        <w:ind w:left="1418" w:hanging="1134"/>
        <w:jc w:val="both"/>
        <w:rPr>
          <w:rFonts w:ascii="Soberana Sans" w:hAnsi="Soberana Sans" w:cs="Arial"/>
          <w:sz w:val="18"/>
          <w:szCs w:val="18"/>
        </w:rPr>
      </w:pPr>
      <w:r w:rsidRPr="00875027">
        <w:rPr>
          <w:rFonts w:ascii="Soberana Sans" w:hAnsi="Soberana Sans" w:cs="Arial"/>
          <w:b/>
          <w:sz w:val="18"/>
          <w:szCs w:val="18"/>
        </w:rPr>
        <w:t xml:space="preserve">11.7.1. </w:t>
      </w:r>
      <w:r w:rsidRPr="00875027">
        <w:rPr>
          <w:rFonts w:ascii="Soberana Sans" w:hAnsi="Soberana Sans" w:cs="Arial"/>
          <w:b/>
          <w:sz w:val="18"/>
          <w:szCs w:val="18"/>
        </w:rPr>
        <w:tab/>
      </w:r>
      <w:r w:rsidR="00F264CE" w:rsidRPr="00875027">
        <w:rPr>
          <w:rFonts w:ascii="Soberana Sans" w:hAnsi="Soberana Sans" w:cs="Arial"/>
          <w:sz w:val="18"/>
          <w:szCs w:val="18"/>
        </w:rPr>
        <w:t>………………………………………………………………………………………………………………………………………………………………………….</w:t>
      </w:r>
    </w:p>
    <w:p w:rsidR="00D66B34" w:rsidRPr="00875027" w:rsidRDefault="00D66B34" w:rsidP="00D66B34">
      <w:pPr>
        <w:tabs>
          <w:tab w:val="left" w:pos="142"/>
        </w:tabs>
        <w:spacing w:after="66" w:line="212" w:lineRule="exact"/>
        <w:ind w:left="1843" w:hanging="425"/>
        <w:jc w:val="both"/>
        <w:rPr>
          <w:rFonts w:ascii="Soberana Sans" w:hAnsi="Soberana Sans" w:cs="Arial"/>
          <w:sz w:val="18"/>
          <w:szCs w:val="18"/>
        </w:rPr>
      </w:pPr>
      <w:r w:rsidRPr="00875027">
        <w:rPr>
          <w:rFonts w:ascii="Soberana Sans" w:hAnsi="Soberana Sans" w:cs="Arial"/>
          <w:b/>
          <w:sz w:val="18"/>
          <w:szCs w:val="18"/>
        </w:rPr>
        <w:t>II.</w:t>
      </w:r>
      <w:r w:rsidRPr="00875027">
        <w:rPr>
          <w:rFonts w:ascii="Soberana Sans" w:hAnsi="Soberana Sans" w:cs="Arial"/>
          <w:sz w:val="18"/>
          <w:szCs w:val="18"/>
        </w:rPr>
        <w:tab/>
        <w:t>Enajenen gasolina o diésel a personas que cuenten con permisos expedidos por la Comisión Reguladora de Energía, para el expendio al público de petrolíferos en estaciones de servicio, y que en su carácter de distribuidores autorizados por la Comisión Nacional de Acuacultura y Pesca (CONAPESCA), o p</w:t>
      </w:r>
      <w:r w:rsidR="0009686A" w:rsidRPr="00875027">
        <w:rPr>
          <w:rFonts w:ascii="Soberana Sans" w:hAnsi="Soberana Sans" w:cs="Arial"/>
          <w:sz w:val="18"/>
          <w:szCs w:val="18"/>
        </w:rPr>
        <w:t>or la Secretaría de Agricultura</w:t>
      </w:r>
      <w:r w:rsidRPr="00875027">
        <w:rPr>
          <w:rFonts w:ascii="Soberana Sans" w:hAnsi="Soberana Sans" w:cs="Arial"/>
          <w:sz w:val="18"/>
          <w:szCs w:val="18"/>
        </w:rPr>
        <w:t>, Ganadería, Desarrollo Rural</w:t>
      </w:r>
      <w:r w:rsidR="00B52B83" w:rsidRPr="00875027">
        <w:rPr>
          <w:rFonts w:ascii="Soberana Sans" w:hAnsi="Soberana Sans" w:cs="Arial"/>
          <w:sz w:val="18"/>
          <w:szCs w:val="18"/>
        </w:rPr>
        <w:t>, Pesca</w:t>
      </w:r>
      <w:r w:rsidRPr="00875027">
        <w:rPr>
          <w:rFonts w:ascii="Soberana Sans" w:hAnsi="Soberana Sans" w:cs="Arial"/>
          <w:sz w:val="18"/>
          <w:szCs w:val="18"/>
        </w:rPr>
        <w:t xml:space="preserve"> y Alimentación (SAGARPA), enajenen los citados combustibles a los integrantes del sector pesquero o agropecuario inscritos en el Padrón de Beneficiarios de Energéticos Agropecuarios que lleva CONAPESCA o en el Padrón de Beneficiarios de Diésel Agropecuario que lleva la SAGARPA, respectivamente.</w:t>
      </w:r>
    </w:p>
    <w:p w:rsidR="00D66B34" w:rsidRPr="00875027" w:rsidRDefault="00D66B34" w:rsidP="00D66B34">
      <w:pPr>
        <w:tabs>
          <w:tab w:val="left" w:pos="142"/>
        </w:tabs>
        <w:spacing w:after="66" w:line="210" w:lineRule="exact"/>
        <w:ind w:left="1418"/>
        <w:jc w:val="both"/>
        <w:rPr>
          <w:rFonts w:ascii="Soberana Sans" w:hAnsi="Soberana Sans" w:cs="Arial"/>
          <w:i/>
          <w:sz w:val="18"/>
          <w:szCs w:val="18"/>
        </w:rPr>
      </w:pPr>
      <w:r w:rsidRPr="00875027">
        <w:rPr>
          <w:rFonts w:ascii="Soberana Sans" w:hAnsi="Soberana Sans" w:cs="Arial"/>
          <w:i/>
          <w:sz w:val="18"/>
          <w:szCs w:val="18"/>
        </w:rPr>
        <w:t>LIEPS 2o, Acuerdo DOF 30/12/2015</w:t>
      </w:r>
    </w:p>
    <w:p w:rsidR="00D66B34" w:rsidRPr="00875027" w:rsidRDefault="00D66B34" w:rsidP="00D66B34">
      <w:pPr>
        <w:pStyle w:val="Texto"/>
        <w:spacing w:line="219" w:lineRule="exact"/>
        <w:ind w:left="1440" w:hanging="24"/>
        <w:rPr>
          <w:rFonts w:ascii="Soberana Sans" w:hAnsi="Soberana Sans"/>
          <w:b/>
        </w:rPr>
      </w:pPr>
      <w:r w:rsidRPr="00875027">
        <w:rPr>
          <w:rFonts w:ascii="Soberana Sans" w:hAnsi="Soberana Sans"/>
          <w:b/>
        </w:rPr>
        <w:t>Procedimiento para determinar el monto mensual del estímulo fiscal a la enajenación de gasolina y diésel</w:t>
      </w:r>
    </w:p>
    <w:p w:rsidR="00D66B34" w:rsidRPr="00875027" w:rsidRDefault="00D66B34" w:rsidP="00D66B34">
      <w:pPr>
        <w:pStyle w:val="Texto"/>
        <w:spacing w:line="219" w:lineRule="exact"/>
        <w:ind w:left="1440" w:hanging="1152"/>
        <w:rPr>
          <w:rFonts w:ascii="Soberana Sans" w:hAnsi="Soberana Sans"/>
        </w:rPr>
      </w:pPr>
      <w:r w:rsidRPr="00875027">
        <w:rPr>
          <w:rFonts w:ascii="Soberana Sans" w:hAnsi="Soberana Sans"/>
          <w:b/>
        </w:rPr>
        <w:t>11.7.2.</w:t>
      </w:r>
      <w:r w:rsidRPr="00875027">
        <w:rPr>
          <w:rFonts w:ascii="Soberana Sans" w:hAnsi="Soberana Sans"/>
        </w:rPr>
        <w:tab/>
      </w:r>
      <w:r w:rsidR="00F264CE" w:rsidRPr="00875027">
        <w:rPr>
          <w:rFonts w:ascii="Soberana Sans" w:hAnsi="Soberana Sans"/>
        </w:rPr>
        <w:t>………………………………………………………………………………………………………………………………………………………………………….</w:t>
      </w:r>
    </w:p>
    <w:p w:rsidR="00D66B34" w:rsidRPr="00875027" w:rsidRDefault="00D66B34" w:rsidP="00D66B34">
      <w:pPr>
        <w:pStyle w:val="Texto"/>
        <w:spacing w:line="219" w:lineRule="exact"/>
        <w:ind w:left="2016" w:hanging="576"/>
        <w:rPr>
          <w:rFonts w:ascii="Soberana Sans" w:hAnsi="Soberana Sans"/>
        </w:rPr>
      </w:pPr>
      <w:r w:rsidRPr="00875027">
        <w:rPr>
          <w:rFonts w:ascii="Soberana Sans" w:hAnsi="Soberana Sans"/>
          <w:b/>
        </w:rPr>
        <w:t>I.</w:t>
      </w:r>
      <w:r w:rsidRPr="00875027">
        <w:rPr>
          <w:rFonts w:ascii="Soberana Sans" w:hAnsi="Soberana Sans"/>
        </w:rPr>
        <w:tab/>
        <w:t>Considerarán los reportes que la CONAPESCA y la SAGARPA les proporcionen semanalmente, los cuales deberán especificar los siguientes datos:</w:t>
      </w:r>
    </w:p>
    <w:p w:rsidR="00D66B34" w:rsidRPr="00875027" w:rsidRDefault="00D66B34" w:rsidP="00D66B34">
      <w:pPr>
        <w:pStyle w:val="Texto"/>
        <w:spacing w:line="219" w:lineRule="exact"/>
        <w:ind w:left="2448" w:hanging="432"/>
        <w:rPr>
          <w:rFonts w:ascii="Soberana Sans" w:hAnsi="Soberana Sans"/>
        </w:rPr>
      </w:pPr>
      <w:r w:rsidRPr="00875027">
        <w:rPr>
          <w:rFonts w:ascii="Soberana Sans" w:hAnsi="Soberana Sans"/>
          <w:b/>
        </w:rPr>
        <w:t>a)</w:t>
      </w:r>
      <w:r w:rsidRPr="00875027">
        <w:rPr>
          <w:rFonts w:ascii="Soberana Sans" w:hAnsi="Soberana Sans"/>
          <w:b/>
        </w:rPr>
        <w:tab/>
      </w:r>
      <w:r w:rsidRPr="00875027">
        <w:rPr>
          <w:rFonts w:ascii="Soberana Sans" w:hAnsi="Soberana Sans"/>
        </w:rPr>
        <w:t xml:space="preserve">Clave del permisionario en el programa de CONAPESCA y de SAGARPA, </w:t>
      </w:r>
      <w:r w:rsidR="00D55751" w:rsidRPr="00875027">
        <w:rPr>
          <w:rFonts w:ascii="Soberana Sans" w:hAnsi="Soberana Sans"/>
        </w:rPr>
        <w:t>así como</w:t>
      </w:r>
      <w:r w:rsidRPr="00875027">
        <w:rPr>
          <w:rFonts w:ascii="Soberana Sans" w:hAnsi="Soberana Sans"/>
        </w:rPr>
        <w:t xml:space="preserve"> su clave en el RFC.</w:t>
      </w:r>
    </w:p>
    <w:p w:rsidR="00D66B34" w:rsidRPr="00875027" w:rsidRDefault="003D03C6" w:rsidP="00D66B34">
      <w:pPr>
        <w:pStyle w:val="Texto"/>
        <w:spacing w:line="219" w:lineRule="exact"/>
        <w:ind w:left="2448" w:hanging="432"/>
        <w:rPr>
          <w:rFonts w:ascii="Soberana Sans" w:hAnsi="Soberana Sans"/>
        </w:rPr>
      </w:pPr>
      <w:r w:rsidRPr="00875027">
        <w:rPr>
          <w:rFonts w:ascii="Soberana Sans" w:hAnsi="Soberana Sans"/>
        </w:rPr>
        <w:t>……………………………..………………………………………………………………………………………………………………………………</w:t>
      </w:r>
    </w:p>
    <w:p w:rsidR="00D66B34" w:rsidRPr="00875027" w:rsidRDefault="00D66B34" w:rsidP="00D66B34">
      <w:pPr>
        <w:pStyle w:val="Texto"/>
        <w:spacing w:line="219" w:lineRule="exact"/>
        <w:ind w:left="2448" w:hanging="432"/>
        <w:rPr>
          <w:rFonts w:ascii="Soberana Sans" w:hAnsi="Soberana Sans"/>
        </w:rPr>
      </w:pPr>
      <w:r w:rsidRPr="00875027">
        <w:rPr>
          <w:rFonts w:ascii="Soberana Sans" w:hAnsi="Soberana Sans"/>
          <w:b/>
        </w:rPr>
        <w:t>c)</w:t>
      </w:r>
      <w:r w:rsidRPr="00875027">
        <w:rPr>
          <w:rFonts w:ascii="Soberana Sans" w:hAnsi="Soberana Sans"/>
        </w:rPr>
        <w:tab/>
        <w:t>Clave del beneficiario conforme al Padrón de Beneficiarios de Energéticos Agropecuarios y al Padrón de Beneficiarios de Diésel Agropecuario, según corresponda</w:t>
      </w:r>
      <w:r w:rsidR="00847686" w:rsidRPr="00875027">
        <w:rPr>
          <w:rFonts w:ascii="Soberana Sans" w:hAnsi="Soberana Sans"/>
        </w:rPr>
        <w:t>, así como</w:t>
      </w:r>
      <w:r w:rsidRPr="00875027">
        <w:rPr>
          <w:rFonts w:ascii="Soberana Sans" w:hAnsi="Soberana Sans"/>
        </w:rPr>
        <w:t xml:space="preserve"> su clave en el RFC; identificación individual de cada suministro; relación de los CFDI expedidos por el permisionario correspondientes a la enajenación de combustibles a precio preferencial; los litros enajenados a precio </w:t>
      </w:r>
      <w:r w:rsidRPr="00875027">
        <w:rPr>
          <w:rFonts w:ascii="Soberana Sans" w:hAnsi="Soberana Sans"/>
        </w:rPr>
        <w:lastRenderedPageBreak/>
        <w:t>preferencial, el monto por litro del estímulo fiscal y el IVA correspondiente a la cuota del IEPS en el porcentaje que se disminuye mediante el estímulo fiscal.</w:t>
      </w:r>
    </w:p>
    <w:p w:rsidR="00D66B34" w:rsidRPr="00875027" w:rsidRDefault="003D03C6" w:rsidP="00D66B34">
      <w:pPr>
        <w:pStyle w:val="Texto"/>
        <w:spacing w:line="219" w:lineRule="exact"/>
        <w:ind w:left="2448" w:hanging="432"/>
        <w:rPr>
          <w:rFonts w:ascii="Soberana Sans" w:hAnsi="Soberana Sans"/>
        </w:rPr>
      </w:pPr>
      <w:r w:rsidRPr="00875027">
        <w:rPr>
          <w:rFonts w:ascii="Soberana Sans" w:hAnsi="Soberana Sans"/>
        </w:rPr>
        <w:t>……………………………..………………………………………………………………………………………………………………………………</w:t>
      </w:r>
    </w:p>
    <w:p w:rsidR="00D66B34" w:rsidRPr="00875027" w:rsidRDefault="00D66B34" w:rsidP="00D66B34">
      <w:pPr>
        <w:pStyle w:val="Texto"/>
        <w:spacing w:line="225" w:lineRule="exact"/>
        <w:ind w:left="2016" w:hanging="576"/>
        <w:rPr>
          <w:rFonts w:ascii="Soberana Sans" w:hAnsi="Soberana Sans"/>
        </w:rPr>
      </w:pPr>
      <w:r w:rsidRPr="00875027">
        <w:rPr>
          <w:rFonts w:ascii="Soberana Sans" w:hAnsi="Soberana Sans"/>
        </w:rPr>
        <w:tab/>
        <w:t>Con base en los reportes señalados, CONAPESCA y SAGARPA deberá</w:t>
      </w:r>
      <w:r w:rsidR="00B52B83" w:rsidRPr="00875027">
        <w:rPr>
          <w:rFonts w:ascii="Soberana Sans" w:hAnsi="Soberana Sans"/>
        </w:rPr>
        <w:t>n</w:t>
      </w:r>
      <w:r w:rsidRPr="00875027">
        <w:rPr>
          <w:rFonts w:ascii="Soberana Sans" w:hAnsi="Soberana Sans"/>
        </w:rPr>
        <w:t xml:space="preserve"> proporcionar mensualmente al SAT, en hoja de cálculo formato .xls, a través de buzón tributario, el monto total mensual del estímulo fiscal considerando los litros de combustible enajenados a los beneficiarios respectivos, a más tardar el día 17 del mes siguiente al que corresponda la información.</w:t>
      </w:r>
    </w:p>
    <w:p w:rsidR="00D66B34" w:rsidRPr="00875027" w:rsidRDefault="003D03C6" w:rsidP="003D03C6">
      <w:pPr>
        <w:pStyle w:val="Texto"/>
        <w:spacing w:line="225" w:lineRule="exact"/>
        <w:ind w:left="1440" w:hanging="22"/>
        <w:rPr>
          <w:rFonts w:ascii="Soberana Sans" w:hAnsi="Soberana Sans"/>
        </w:rPr>
      </w:pPr>
      <w:r w:rsidRPr="00875027">
        <w:rPr>
          <w:rFonts w:ascii="Soberana Sans" w:hAnsi="Soberana Sans"/>
        </w:rPr>
        <w:t>……………………………….…………………………………………………………………………………………………………………………………………</w:t>
      </w:r>
    </w:p>
    <w:p w:rsidR="00D66B34" w:rsidRPr="00875027" w:rsidRDefault="00D66B34" w:rsidP="00D66B34">
      <w:pPr>
        <w:ind w:left="708" w:firstLine="708"/>
        <w:rPr>
          <w:rFonts w:ascii="Soberana Sans" w:hAnsi="Soberana Sans"/>
          <w:i/>
          <w:sz w:val="18"/>
          <w:szCs w:val="18"/>
        </w:rPr>
      </w:pPr>
      <w:r w:rsidRPr="00875027">
        <w:rPr>
          <w:rFonts w:ascii="Soberana Sans" w:hAnsi="Soberana Sans"/>
          <w:i/>
          <w:sz w:val="18"/>
          <w:szCs w:val="18"/>
        </w:rPr>
        <w:t>CFF 25, LIVA 7, LIEPS 5o, ACUERDO DOF 30/12/15, RMF 2017 11.7.1.</w:t>
      </w:r>
    </w:p>
    <w:p w:rsidR="00D66B34" w:rsidRPr="00875027" w:rsidRDefault="00D66B34" w:rsidP="00D66B34">
      <w:pPr>
        <w:spacing w:after="101" w:line="220" w:lineRule="exact"/>
        <w:ind w:left="851" w:firstLine="567"/>
        <w:rPr>
          <w:rFonts w:ascii="Soberana Sans" w:hAnsi="Soberana Sans" w:cs="Arial"/>
          <w:b/>
          <w:sz w:val="18"/>
          <w:szCs w:val="18"/>
        </w:rPr>
      </w:pPr>
      <w:r w:rsidRPr="00875027">
        <w:rPr>
          <w:rFonts w:ascii="Soberana Sans" w:hAnsi="Soberana Sans" w:cs="Arial"/>
          <w:b/>
          <w:sz w:val="18"/>
          <w:szCs w:val="18"/>
        </w:rPr>
        <w:t>Padrón de Beneficiarios y la cuota energética</w:t>
      </w:r>
    </w:p>
    <w:p w:rsidR="00D66B34" w:rsidRPr="00875027" w:rsidRDefault="00D66B34" w:rsidP="00D66B34">
      <w:pPr>
        <w:spacing w:after="101" w:line="220" w:lineRule="exact"/>
        <w:ind w:left="1418" w:hanging="1134"/>
        <w:jc w:val="both"/>
        <w:rPr>
          <w:rFonts w:ascii="Soberana Sans" w:hAnsi="Soberana Sans" w:cs="Arial"/>
          <w:sz w:val="18"/>
          <w:szCs w:val="18"/>
        </w:rPr>
      </w:pPr>
      <w:r w:rsidRPr="00875027">
        <w:rPr>
          <w:rFonts w:ascii="Soberana Sans" w:hAnsi="Soberana Sans" w:cs="Arial"/>
          <w:b/>
          <w:sz w:val="18"/>
          <w:szCs w:val="18"/>
        </w:rPr>
        <w:t>11.7.3.</w:t>
      </w:r>
      <w:r w:rsidRPr="00875027">
        <w:rPr>
          <w:rFonts w:ascii="Soberana Sans" w:hAnsi="Soberana Sans" w:cs="Arial"/>
          <w:b/>
          <w:sz w:val="18"/>
          <w:szCs w:val="18"/>
        </w:rPr>
        <w:tab/>
      </w:r>
      <w:r w:rsidRPr="00875027">
        <w:rPr>
          <w:rFonts w:ascii="Soberana Sans" w:hAnsi="Soberana Sans" w:cs="Arial"/>
          <w:sz w:val="18"/>
          <w:szCs w:val="18"/>
        </w:rPr>
        <w:t>La CONAPESCA y la SAGARPA, deberán proporcionar al SAT en hoja de cálculo formato .xls, a través de buzón tributario, el Padrón de Beneficiarios de Energéticos Agropecuarios y el Padrón de Beneficiarios de Diésel Agropecuario respectivamente, la cuota energética autorizada a cada uno de los beneficiarios, la red de estaciones de servicio autorizadas para suministrar el combustible de que se trate a los beneficiarios inscritos en los diferentes Padrones, así como informar al SAT la actualización de los mismos dentro de los 15 días siguientes a que realicen cualquier modificación, de conformidad con lo dispuesto en la ficha de trámite 1/DEC-6 “Informe del Padrón de Beneficiarios de Energéticos Agropecuarios y el Padrón de Beneficiarios de Diésel Agropecuario”</w:t>
      </w:r>
      <w:r w:rsidR="00935643" w:rsidRPr="00875027">
        <w:rPr>
          <w:rFonts w:ascii="Soberana Sans" w:hAnsi="Soberana Sans" w:cs="Arial"/>
          <w:sz w:val="18"/>
          <w:szCs w:val="18"/>
        </w:rPr>
        <w:t>, contenida en el Anexo 1-A</w:t>
      </w:r>
      <w:r w:rsidRPr="00875027">
        <w:rPr>
          <w:rFonts w:ascii="Soberana Sans" w:hAnsi="Soberana Sans" w:cs="Arial"/>
          <w:sz w:val="18"/>
          <w:szCs w:val="18"/>
        </w:rPr>
        <w:t>.</w:t>
      </w:r>
    </w:p>
    <w:p w:rsidR="00D66B34" w:rsidRPr="00875027" w:rsidRDefault="00D66B34" w:rsidP="00D66B34">
      <w:pPr>
        <w:tabs>
          <w:tab w:val="left" w:pos="1418"/>
        </w:tabs>
        <w:spacing w:after="80" w:line="220" w:lineRule="atLeast"/>
        <w:ind w:left="1418"/>
        <w:jc w:val="both"/>
        <w:rPr>
          <w:rFonts w:ascii="Soberana Sans" w:hAnsi="Soberana Sans" w:cs="Arial"/>
          <w:i/>
          <w:color w:val="000000" w:themeColor="text1"/>
          <w:sz w:val="18"/>
          <w:szCs w:val="18"/>
        </w:rPr>
      </w:pPr>
      <w:r w:rsidRPr="00875027">
        <w:rPr>
          <w:rFonts w:ascii="Soberana Sans" w:hAnsi="Soberana Sans" w:cs="Arial"/>
          <w:i/>
          <w:sz w:val="18"/>
          <w:szCs w:val="18"/>
        </w:rPr>
        <w:t>ACUERDO DOF 30/12/15</w:t>
      </w:r>
    </w:p>
    <w:p w:rsidR="000B4323" w:rsidRPr="00875027" w:rsidRDefault="000B4323" w:rsidP="000B4323">
      <w:pPr>
        <w:pStyle w:val="Texto"/>
        <w:spacing w:after="75" w:line="208" w:lineRule="exact"/>
        <w:ind w:left="1440" w:hanging="1440"/>
        <w:rPr>
          <w:rFonts w:ascii="Soberana Sans" w:hAnsi="Soberana Sans"/>
          <w:b/>
          <w:szCs w:val="18"/>
        </w:rPr>
      </w:pPr>
    </w:p>
    <w:p w:rsidR="000B4323" w:rsidRPr="00875027" w:rsidRDefault="000B4323" w:rsidP="000B4323">
      <w:pPr>
        <w:pStyle w:val="Texto"/>
        <w:spacing w:after="75" w:line="208" w:lineRule="exact"/>
        <w:ind w:left="1440" w:hanging="1440"/>
        <w:rPr>
          <w:rFonts w:ascii="Soberana Sans" w:hAnsi="Soberana Sans"/>
          <w:szCs w:val="18"/>
        </w:rPr>
      </w:pPr>
      <w:r w:rsidRPr="00875027">
        <w:rPr>
          <w:rFonts w:ascii="Soberana Sans" w:hAnsi="Soberana Sans"/>
          <w:b/>
          <w:szCs w:val="18"/>
        </w:rPr>
        <w:t>TERCERO.</w:t>
      </w:r>
      <w:r w:rsidRPr="00875027">
        <w:rPr>
          <w:rFonts w:ascii="Soberana Sans" w:hAnsi="Soberana Sans"/>
          <w:szCs w:val="18"/>
        </w:rPr>
        <w:tab/>
        <w:t>Se reforma</w:t>
      </w:r>
      <w:r w:rsidR="00E60DBA">
        <w:rPr>
          <w:rFonts w:ascii="Soberana Sans" w:hAnsi="Soberana Sans"/>
          <w:szCs w:val="18"/>
        </w:rPr>
        <w:t>n los</w:t>
      </w:r>
      <w:r w:rsidRPr="00875027">
        <w:rPr>
          <w:rFonts w:ascii="Soberana Sans" w:hAnsi="Soberana Sans"/>
          <w:szCs w:val="18"/>
        </w:rPr>
        <w:t xml:space="preserve"> Anexo</w:t>
      </w:r>
      <w:r w:rsidR="00E60DBA">
        <w:rPr>
          <w:rFonts w:ascii="Soberana Sans" w:hAnsi="Soberana Sans"/>
          <w:szCs w:val="18"/>
        </w:rPr>
        <w:t>s</w:t>
      </w:r>
      <w:r w:rsidRPr="00875027">
        <w:rPr>
          <w:rFonts w:ascii="Soberana Sans" w:hAnsi="Soberana Sans"/>
          <w:szCs w:val="18"/>
        </w:rPr>
        <w:t xml:space="preserve"> 1-A</w:t>
      </w:r>
      <w:r w:rsidR="00E60DBA">
        <w:rPr>
          <w:rFonts w:ascii="Soberana Sans" w:hAnsi="Soberana Sans"/>
          <w:szCs w:val="18"/>
        </w:rPr>
        <w:t xml:space="preserve"> </w:t>
      </w:r>
      <w:r w:rsidR="00E60DBA" w:rsidRPr="00542C4E">
        <w:rPr>
          <w:rFonts w:ascii="Soberana Sans" w:hAnsi="Soberana Sans"/>
          <w:szCs w:val="18"/>
        </w:rPr>
        <w:t>y 3</w:t>
      </w:r>
      <w:bookmarkStart w:id="0" w:name="_GoBack"/>
      <w:bookmarkEnd w:id="0"/>
      <w:r w:rsidRPr="00875027">
        <w:rPr>
          <w:rFonts w:ascii="Soberana Sans" w:hAnsi="Soberana Sans"/>
          <w:szCs w:val="18"/>
        </w:rPr>
        <w:t xml:space="preserve"> de la RMF para 2017. </w:t>
      </w:r>
    </w:p>
    <w:p w:rsidR="00C74BA5" w:rsidRPr="00875027" w:rsidRDefault="00C74BA5" w:rsidP="00C6163F">
      <w:pPr>
        <w:pStyle w:val="Texto"/>
        <w:spacing w:after="0" w:line="240" w:lineRule="auto"/>
        <w:ind w:firstLine="0"/>
        <w:jc w:val="center"/>
        <w:rPr>
          <w:rFonts w:ascii="Soberana Sans" w:hAnsi="Soberana Sans"/>
          <w:b/>
          <w:szCs w:val="18"/>
        </w:rPr>
      </w:pPr>
    </w:p>
    <w:p w:rsidR="00C6163F" w:rsidRPr="00875027" w:rsidRDefault="00C6163F" w:rsidP="00C6163F">
      <w:pPr>
        <w:pStyle w:val="Texto"/>
        <w:spacing w:after="0" w:line="240" w:lineRule="auto"/>
        <w:ind w:firstLine="0"/>
        <w:jc w:val="center"/>
        <w:rPr>
          <w:rFonts w:ascii="Soberana Sans" w:hAnsi="Soberana Sans"/>
          <w:b/>
          <w:szCs w:val="18"/>
        </w:rPr>
      </w:pPr>
      <w:r w:rsidRPr="00875027">
        <w:rPr>
          <w:rFonts w:ascii="Soberana Sans" w:hAnsi="Soberana Sans"/>
          <w:b/>
          <w:szCs w:val="18"/>
        </w:rPr>
        <w:t>Transitorios</w:t>
      </w:r>
    </w:p>
    <w:p w:rsidR="00C6163F" w:rsidRPr="00875027" w:rsidRDefault="00C6163F" w:rsidP="00C6163F">
      <w:pPr>
        <w:ind w:left="1418" w:hanging="1418"/>
        <w:jc w:val="both"/>
        <w:rPr>
          <w:rFonts w:ascii="Soberana Sans" w:hAnsi="Soberana Sans" w:cs="Arial"/>
          <w:sz w:val="18"/>
          <w:szCs w:val="18"/>
        </w:rPr>
      </w:pPr>
    </w:p>
    <w:p w:rsidR="00DB3187" w:rsidRPr="00875027" w:rsidRDefault="00DB3187" w:rsidP="00DB3187">
      <w:pPr>
        <w:ind w:left="1418" w:hanging="1418"/>
        <w:rPr>
          <w:rFonts w:ascii="Soberana Sans" w:hAnsi="Soberana Sans"/>
          <w:sz w:val="18"/>
          <w:szCs w:val="18"/>
        </w:rPr>
      </w:pPr>
      <w:r w:rsidRPr="00875027">
        <w:rPr>
          <w:rFonts w:ascii="Soberana Sans" w:hAnsi="Soberana Sans"/>
          <w:b/>
          <w:sz w:val="18"/>
          <w:szCs w:val="18"/>
        </w:rPr>
        <w:t>Primero.</w:t>
      </w:r>
      <w:r w:rsidRPr="00875027">
        <w:rPr>
          <w:rFonts w:ascii="Soberana Sans" w:hAnsi="Soberana Sans"/>
          <w:b/>
          <w:sz w:val="18"/>
          <w:szCs w:val="18"/>
        </w:rPr>
        <w:tab/>
      </w:r>
      <w:r w:rsidRPr="00875027">
        <w:rPr>
          <w:rFonts w:ascii="Soberana Sans" w:hAnsi="Soberana Sans"/>
          <w:sz w:val="18"/>
          <w:szCs w:val="18"/>
        </w:rPr>
        <w:t>La presente Resolución entrará en vigor el día siguiente al de su publicación en el DOF.</w:t>
      </w:r>
    </w:p>
    <w:p w:rsidR="00DB3187" w:rsidRPr="00875027" w:rsidRDefault="00DB3187" w:rsidP="00DB3187">
      <w:pPr>
        <w:ind w:left="1418" w:hanging="1418"/>
        <w:rPr>
          <w:rFonts w:ascii="Soberana Sans" w:hAnsi="Soberana Sans"/>
          <w:b/>
          <w:sz w:val="18"/>
          <w:szCs w:val="18"/>
        </w:rPr>
      </w:pPr>
    </w:p>
    <w:p w:rsidR="00AE606A" w:rsidRPr="00875027" w:rsidRDefault="00DB3187" w:rsidP="00C51EC1">
      <w:pPr>
        <w:pStyle w:val="k"/>
        <w:tabs>
          <w:tab w:val="left" w:pos="1418"/>
        </w:tabs>
        <w:spacing w:after="0" w:line="240" w:lineRule="auto"/>
        <w:ind w:left="1418" w:hanging="1418"/>
        <w:rPr>
          <w:rFonts w:ascii="Soberana Sans" w:hAnsi="Soberana Sans"/>
          <w:color w:val="000000" w:themeColor="text1"/>
          <w:szCs w:val="18"/>
          <w:lang w:val="es-MX"/>
        </w:rPr>
      </w:pPr>
      <w:r w:rsidRPr="00875027">
        <w:rPr>
          <w:rFonts w:ascii="Soberana Sans" w:hAnsi="Soberana Sans"/>
          <w:b/>
          <w:szCs w:val="18"/>
        </w:rPr>
        <w:t>Segundo.</w:t>
      </w:r>
      <w:r w:rsidRPr="00875027">
        <w:rPr>
          <w:rFonts w:ascii="Soberana Sans" w:hAnsi="Soberana Sans"/>
          <w:b/>
          <w:szCs w:val="18"/>
        </w:rPr>
        <w:tab/>
      </w:r>
      <w:r w:rsidR="00AE606A" w:rsidRPr="00875027">
        <w:rPr>
          <w:rFonts w:ascii="Soberana Sans" w:hAnsi="Soberana Sans"/>
          <w:color w:val="000000" w:themeColor="text1"/>
          <w:szCs w:val="18"/>
          <w:lang w:val="es-MX"/>
        </w:rPr>
        <w:t xml:space="preserve">Lo establecido en la regla 2.12.14., </w:t>
      </w:r>
      <w:r w:rsidR="005E6E6D" w:rsidRPr="00875027">
        <w:rPr>
          <w:rFonts w:ascii="Soberana Sans" w:hAnsi="Soberana Sans"/>
          <w:color w:val="000000" w:themeColor="text1"/>
          <w:szCs w:val="18"/>
          <w:lang w:val="es-MX"/>
        </w:rPr>
        <w:t>será</w:t>
      </w:r>
      <w:r w:rsidR="00AE606A" w:rsidRPr="00875027">
        <w:rPr>
          <w:rFonts w:ascii="Soberana Sans" w:hAnsi="Soberana Sans"/>
          <w:color w:val="000000" w:themeColor="text1"/>
          <w:szCs w:val="18"/>
          <w:lang w:val="es-MX"/>
        </w:rPr>
        <w:t xml:space="preserve"> aplicable para las facultades de comprobación que inicien</w:t>
      </w:r>
      <w:r w:rsidR="005763D9" w:rsidRPr="00875027">
        <w:rPr>
          <w:rFonts w:ascii="Soberana Sans" w:hAnsi="Soberana Sans"/>
          <w:color w:val="000000" w:themeColor="text1"/>
          <w:szCs w:val="18"/>
          <w:lang w:val="es-MX"/>
        </w:rPr>
        <w:t xml:space="preserve"> las autoridades fiscales </w:t>
      </w:r>
      <w:r w:rsidR="00A016A8" w:rsidRPr="00875027">
        <w:rPr>
          <w:rFonts w:ascii="Soberana Sans" w:hAnsi="Soberana Sans"/>
          <w:color w:val="000000" w:themeColor="text1"/>
          <w:szCs w:val="18"/>
          <w:lang w:val="es-MX"/>
        </w:rPr>
        <w:t>a partir de la entrada en vigor</w:t>
      </w:r>
      <w:r w:rsidR="00AE606A" w:rsidRPr="00875027">
        <w:rPr>
          <w:rFonts w:ascii="Soberana Sans" w:hAnsi="Soberana Sans"/>
          <w:color w:val="000000" w:themeColor="text1"/>
          <w:szCs w:val="18"/>
          <w:lang w:val="es-MX"/>
        </w:rPr>
        <w:t xml:space="preserve"> </w:t>
      </w:r>
      <w:r w:rsidR="00A016A8" w:rsidRPr="00875027">
        <w:rPr>
          <w:rFonts w:ascii="Soberana Sans" w:hAnsi="Soberana Sans"/>
          <w:color w:val="000000" w:themeColor="text1"/>
          <w:szCs w:val="18"/>
          <w:lang w:val="es-MX"/>
        </w:rPr>
        <w:t>de dicha regla</w:t>
      </w:r>
      <w:r w:rsidR="00AE606A" w:rsidRPr="00875027">
        <w:rPr>
          <w:rFonts w:ascii="Soberana Sans" w:hAnsi="Soberana Sans"/>
          <w:color w:val="000000" w:themeColor="text1"/>
          <w:szCs w:val="18"/>
          <w:lang w:val="es-MX"/>
        </w:rPr>
        <w:t>.</w:t>
      </w:r>
    </w:p>
    <w:p w:rsidR="00D66B34" w:rsidRPr="00875027" w:rsidRDefault="00D66B34" w:rsidP="00C51EC1">
      <w:pPr>
        <w:pStyle w:val="k"/>
        <w:tabs>
          <w:tab w:val="left" w:pos="1418"/>
        </w:tabs>
        <w:spacing w:after="0" w:line="240" w:lineRule="auto"/>
        <w:ind w:left="1418" w:hanging="1418"/>
        <w:rPr>
          <w:rFonts w:ascii="Soberana Sans" w:hAnsi="Soberana Sans"/>
          <w:color w:val="000000" w:themeColor="text1"/>
          <w:szCs w:val="18"/>
          <w:lang w:val="es-MX"/>
        </w:rPr>
      </w:pPr>
    </w:p>
    <w:p w:rsidR="00D61C55" w:rsidRDefault="00D61C55" w:rsidP="00D61C55">
      <w:pPr>
        <w:pStyle w:val="k"/>
        <w:tabs>
          <w:tab w:val="left" w:pos="1418"/>
        </w:tabs>
        <w:spacing w:after="0" w:line="240" w:lineRule="auto"/>
        <w:ind w:left="1418" w:hanging="1418"/>
        <w:rPr>
          <w:rFonts w:ascii="Soberana Sans" w:hAnsi="Soberana Sans"/>
          <w:szCs w:val="18"/>
        </w:rPr>
      </w:pPr>
      <w:r w:rsidRPr="00875027">
        <w:rPr>
          <w:rFonts w:ascii="Soberana Sans" w:hAnsi="Soberana Sans"/>
          <w:b/>
          <w:szCs w:val="18"/>
        </w:rPr>
        <w:t>Tercero.</w:t>
      </w:r>
      <w:r w:rsidRPr="00875027">
        <w:rPr>
          <w:rFonts w:ascii="Soberana Sans" w:hAnsi="Soberana Sans"/>
          <w:b/>
          <w:szCs w:val="18"/>
        </w:rPr>
        <w:tab/>
      </w:r>
      <w:r w:rsidRPr="00875027">
        <w:rPr>
          <w:rFonts w:ascii="Soberana Sans" w:hAnsi="Soberana Sans"/>
          <w:szCs w:val="18"/>
        </w:rPr>
        <w:t>Para efectos de la regla 1.8., último párrafo,</w:t>
      </w:r>
      <w:r w:rsidRPr="00875027">
        <w:rPr>
          <w:rFonts w:ascii="Soberana Sans" w:hAnsi="Soberana Sans"/>
          <w:b/>
          <w:szCs w:val="18"/>
        </w:rPr>
        <w:t xml:space="preserve"> </w:t>
      </w:r>
      <w:r w:rsidRPr="00875027">
        <w:rPr>
          <w:rFonts w:ascii="Soberana Sans" w:hAnsi="Soberana Sans"/>
          <w:szCs w:val="18"/>
        </w:rPr>
        <w:t xml:space="preserve">lo dispuesto en las reglas 3.21.3.9. y </w:t>
      </w:r>
      <w:r>
        <w:rPr>
          <w:rFonts w:ascii="Soberana Sans" w:hAnsi="Soberana Sans"/>
          <w:szCs w:val="18"/>
        </w:rPr>
        <w:t xml:space="preserve">4.3.12., </w:t>
      </w:r>
      <w:r w:rsidRPr="005C362B">
        <w:rPr>
          <w:rFonts w:ascii="Soberana Sans" w:hAnsi="Soberana Sans"/>
          <w:szCs w:val="18"/>
        </w:rPr>
        <w:t>de acuerdo a su publicación en el Portal del SAT</w:t>
      </w:r>
      <w:r>
        <w:rPr>
          <w:rFonts w:ascii="Soberana Sans" w:hAnsi="Soberana Sans"/>
          <w:szCs w:val="18"/>
        </w:rPr>
        <w:t>, será aplicable a partir del 18 de agosto de 2017.</w:t>
      </w:r>
    </w:p>
    <w:p w:rsidR="00D66B34" w:rsidRPr="00875027" w:rsidRDefault="00D66B34" w:rsidP="00D66B34">
      <w:pPr>
        <w:pStyle w:val="k"/>
        <w:tabs>
          <w:tab w:val="left" w:pos="1418"/>
        </w:tabs>
        <w:spacing w:after="0" w:line="240" w:lineRule="auto"/>
        <w:ind w:left="1418" w:hanging="1418"/>
        <w:rPr>
          <w:rFonts w:ascii="Soberana Sans" w:hAnsi="Soberana Sans"/>
          <w:b/>
          <w:szCs w:val="18"/>
        </w:rPr>
      </w:pPr>
    </w:p>
    <w:p w:rsidR="00337EC5" w:rsidRPr="00875027" w:rsidRDefault="00A85D14" w:rsidP="00337EC5">
      <w:pPr>
        <w:pStyle w:val="k"/>
        <w:tabs>
          <w:tab w:val="left" w:pos="1418"/>
        </w:tabs>
        <w:spacing w:after="0" w:line="240" w:lineRule="auto"/>
        <w:ind w:left="1418" w:hanging="1418"/>
        <w:rPr>
          <w:rFonts w:ascii="Soberana Sans" w:hAnsi="Soberana Sans"/>
          <w:szCs w:val="18"/>
        </w:rPr>
      </w:pPr>
      <w:r w:rsidRPr="00875027">
        <w:rPr>
          <w:rFonts w:ascii="Soberana Sans" w:hAnsi="Soberana Sans"/>
          <w:b/>
          <w:szCs w:val="18"/>
        </w:rPr>
        <w:t>Cuarto</w:t>
      </w:r>
      <w:r w:rsidR="00D66B34" w:rsidRPr="00875027">
        <w:rPr>
          <w:rFonts w:ascii="Soberana Sans" w:hAnsi="Soberana Sans"/>
          <w:b/>
          <w:szCs w:val="18"/>
        </w:rPr>
        <w:t>.</w:t>
      </w:r>
      <w:r w:rsidR="00D66B34" w:rsidRPr="00875027">
        <w:rPr>
          <w:rFonts w:ascii="Soberana Sans" w:hAnsi="Soberana Sans"/>
          <w:b/>
          <w:szCs w:val="18"/>
        </w:rPr>
        <w:tab/>
      </w:r>
      <w:r w:rsidR="00337EC5">
        <w:rPr>
          <w:rFonts w:ascii="Soberana Sans" w:hAnsi="Soberana Sans"/>
          <w:szCs w:val="18"/>
        </w:rPr>
        <w:t>L</w:t>
      </w:r>
      <w:r w:rsidR="00337EC5" w:rsidRPr="00875027">
        <w:rPr>
          <w:rFonts w:ascii="Soberana Sans" w:hAnsi="Soberana Sans"/>
          <w:szCs w:val="18"/>
        </w:rPr>
        <w:t>as reformas a las reglas 11.7.1., 11.7.2., y 11.7.3.</w:t>
      </w:r>
      <w:r w:rsidR="00337EC5">
        <w:rPr>
          <w:rFonts w:ascii="Soberana Sans" w:hAnsi="Soberana Sans"/>
          <w:szCs w:val="18"/>
        </w:rPr>
        <w:t>, serán aplicables a partir del 1 de agosto de 2017.</w:t>
      </w:r>
    </w:p>
    <w:p w:rsidR="00337EC5" w:rsidRPr="00875027" w:rsidRDefault="00337EC5" w:rsidP="00337EC5">
      <w:pPr>
        <w:pStyle w:val="k"/>
        <w:tabs>
          <w:tab w:val="left" w:pos="1418"/>
        </w:tabs>
        <w:spacing w:after="0" w:line="240" w:lineRule="auto"/>
        <w:ind w:left="2124" w:hanging="2124"/>
        <w:rPr>
          <w:rFonts w:ascii="Soberana Sans" w:hAnsi="Soberana Sans"/>
          <w:szCs w:val="18"/>
        </w:rPr>
      </w:pPr>
    </w:p>
    <w:p w:rsidR="00D66B34" w:rsidRPr="00875027" w:rsidRDefault="00337EC5" w:rsidP="00D66B34">
      <w:pPr>
        <w:ind w:left="1410" w:hanging="1410"/>
        <w:jc w:val="both"/>
        <w:rPr>
          <w:rFonts w:ascii="Soberana Sans" w:hAnsi="Soberana Sans"/>
          <w:sz w:val="18"/>
          <w:szCs w:val="18"/>
        </w:rPr>
      </w:pPr>
      <w:r w:rsidRPr="00337EC5">
        <w:rPr>
          <w:rFonts w:ascii="Soberana Sans" w:hAnsi="Soberana Sans"/>
          <w:b/>
          <w:sz w:val="18"/>
          <w:szCs w:val="18"/>
        </w:rPr>
        <w:t>Quinto.</w:t>
      </w:r>
      <w:r>
        <w:rPr>
          <w:rFonts w:ascii="Soberana Sans" w:hAnsi="Soberana Sans"/>
          <w:sz w:val="18"/>
          <w:szCs w:val="18"/>
        </w:rPr>
        <w:tab/>
      </w:r>
      <w:r w:rsidR="00D66B34" w:rsidRPr="00875027">
        <w:rPr>
          <w:rFonts w:ascii="Soberana Sans" w:hAnsi="Soberana Sans"/>
          <w:sz w:val="18"/>
          <w:szCs w:val="18"/>
        </w:rPr>
        <w:t xml:space="preserve">Para los efectos de lo dispuesto por la regla 11.7.3., la Secretaría de Agricultura, Ganadería, Desarrollo Rural, Pesca y Alimentación, deberá proporcionar al SAT a través de buzón tributario, a más tardar el </w:t>
      </w:r>
      <w:r w:rsidR="001649DF" w:rsidRPr="00875027">
        <w:rPr>
          <w:rFonts w:ascii="Soberana Sans" w:hAnsi="Soberana Sans"/>
          <w:sz w:val="18"/>
          <w:szCs w:val="18"/>
        </w:rPr>
        <w:t>31</w:t>
      </w:r>
      <w:r w:rsidR="00D66B34" w:rsidRPr="00875027">
        <w:rPr>
          <w:rFonts w:ascii="Soberana Sans" w:hAnsi="Soberana Sans"/>
          <w:sz w:val="18"/>
          <w:szCs w:val="18"/>
        </w:rPr>
        <w:t xml:space="preserve"> de agosto de 2017, el Padrón de Beneficiarios de Diésel Agropecuario, la cuota energética autorizada a cada uno de ellos en litros y la red de estaciones de servicio autorizadas para el suministro del combustible a los beneficiarios inscritos en el citado Padrón, en términos de la ficha de trámite 1/DEC-6 Informe del Padrón de Beneficiarios de Energéticos Agropecuarios y el Padrón de Beneficiarios de Diésel Agropecuario.</w:t>
      </w:r>
    </w:p>
    <w:p w:rsidR="00D66B34" w:rsidRPr="00875027" w:rsidRDefault="00D66B34" w:rsidP="00D66B34">
      <w:pPr>
        <w:ind w:left="1410" w:hanging="1410"/>
        <w:jc w:val="both"/>
        <w:rPr>
          <w:rFonts w:ascii="Soberana Sans" w:hAnsi="Soberana Sans"/>
          <w:sz w:val="18"/>
          <w:szCs w:val="18"/>
        </w:rPr>
      </w:pPr>
    </w:p>
    <w:p w:rsidR="00D66B34" w:rsidRPr="00875027" w:rsidRDefault="00D66B34" w:rsidP="00D66B34">
      <w:pPr>
        <w:ind w:left="1410" w:hanging="1410"/>
        <w:jc w:val="both"/>
        <w:rPr>
          <w:rFonts w:ascii="Soberana Sans" w:hAnsi="Soberana Sans"/>
          <w:sz w:val="18"/>
          <w:szCs w:val="18"/>
        </w:rPr>
      </w:pPr>
      <w:r w:rsidRPr="00875027">
        <w:rPr>
          <w:rFonts w:ascii="Soberana Sans" w:hAnsi="Soberana Sans"/>
          <w:b/>
          <w:sz w:val="18"/>
          <w:szCs w:val="18"/>
        </w:rPr>
        <w:tab/>
      </w:r>
      <w:r w:rsidRPr="00875027">
        <w:rPr>
          <w:rFonts w:ascii="Soberana Sans" w:hAnsi="Soberana Sans"/>
          <w:sz w:val="18"/>
          <w:szCs w:val="18"/>
        </w:rPr>
        <w:t>Hasta en tanto el SAT incorpore el trámite a que se refiere el párrafo anterior en el buzón tributario, la información se deberá presentar mediante escrito libre dirigido a la AGH, a través de un caso de aclaración en el Portal del SAT.</w:t>
      </w:r>
    </w:p>
    <w:p w:rsidR="00D66B34" w:rsidRPr="00875027" w:rsidRDefault="00D66B34" w:rsidP="00D66B34">
      <w:pPr>
        <w:ind w:left="1410" w:hanging="1410"/>
        <w:jc w:val="both"/>
        <w:rPr>
          <w:rFonts w:ascii="Soberana Sans" w:hAnsi="Soberana Sans"/>
          <w:sz w:val="18"/>
          <w:szCs w:val="18"/>
        </w:rPr>
      </w:pPr>
    </w:p>
    <w:p w:rsidR="00D66B34" w:rsidRPr="00875027" w:rsidRDefault="00337EC5" w:rsidP="00D66B34">
      <w:pPr>
        <w:ind w:left="1410" w:hanging="1410"/>
        <w:jc w:val="both"/>
        <w:rPr>
          <w:rFonts w:ascii="Soberana Sans" w:hAnsi="Soberana Sans"/>
          <w:sz w:val="18"/>
          <w:szCs w:val="18"/>
        </w:rPr>
      </w:pPr>
      <w:r>
        <w:rPr>
          <w:rFonts w:ascii="Soberana Sans" w:hAnsi="Soberana Sans"/>
          <w:b/>
          <w:sz w:val="18"/>
          <w:szCs w:val="18"/>
        </w:rPr>
        <w:lastRenderedPageBreak/>
        <w:t>Sexto.</w:t>
      </w:r>
      <w:r w:rsidR="00D66B34" w:rsidRPr="00875027">
        <w:rPr>
          <w:rFonts w:ascii="Soberana Sans" w:hAnsi="Soberana Sans"/>
          <w:b/>
          <w:sz w:val="18"/>
          <w:szCs w:val="18"/>
        </w:rPr>
        <w:tab/>
      </w:r>
      <w:r w:rsidR="00D66B34" w:rsidRPr="00875027">
        <w:rPr>
          <w:rFonts w:ascii="Soberana Sans" w:hAnsi="Soberana Sans"/>
          <w:sz w:val="18"/>
          <w:szCs w:val="18"/>
        </w:rPr>
        <w:t>Para los efectos de lo dispuesto por el inciso c) de la fracción I, de la regla 11.7.2., la relación de los CFDI a que alude dicho inciso, será exigible a partir de 1 de enero de 2018. La información correspondiente al periodo del 1 de enero al 31 de diciembre de 2017, deberá ser presentada a más tardar el 1 de abril de 2018.</w:t>
      </w:r>
    </w:p>
    <w:p w:rsidR="00D66B34" w:rsidRPr="00875027" w:rsidRDefault="00D66B34" w:rsidP="00D66B34">
      <w:pPr>
        <w:ind w:left="1410" w:hanging="1410"/>
        <w:jc w:val="both"/>
        <w:rPr>
          <w:rFonts w:ascii="Soberana Sans" w:hAnsi="Soberana Sans"/>
          <w:sz w:val="18"/>
          <w:szCs w:val="18"/>
        </w:rPr>
      </w:pPr>
    </w:p>
    <w:p w:rsidR="00D66B34" w:rsidRPr="00875027" w:rsidRDefault="00337EC5" w:rsidP="00D66B34">
      <w:pPr>
        <w:pStyle w:val="k"/>
        <w:tabs>
          <w:tab w:val="left" w:pos="1418"/>
        </w:tabs>
        <w:spacing w:after="0" w:line="240" w:lineRule="auto"/>
        <w:ind w:left="1418" w:hanging="1418"/>
        <w:rPr>
          <w:rFonts w:ascii="Soberana Sans" w:hAnsi="Soberana Sans"/>
          <w:szCs w:val="18"/>
        </w:rPr>
      </w:pPr>
      <w:r>
        <w:rPr>
          <w:rFonts w:ascii="Soberana Sans" w:hAnsi="Soberana Sans"/>
          <w:b/>
          <w:szCs w:val="18"/>
        </w:rPr>
        <w:t>Séptimo</w:t>
      </w:r>
      <w:r w:rsidR="00D66B34" w:rsidRPr="00875027">
        <w:rPr>
          <w:rFonts w:ascii="Soberana Sans" w:hAnsi="Soberana Sans"/>
          <w:b/>
          <w:szCs w:val="18"/>
        </w:rPr>
        <w:tab/>
      </w:r>
      <w:r w:rsidR="00D66B34" w:rsidRPr="00875027">
        <w:rPr>
          <w:rFonts w:ascii="Soberana Sans" w:hAnsi="Soberana Sans"/>
          <w:szCs w:val="18"/>
        </w:rPr>
        <w:t>Para los efectos de lo dispuesto por la regla 11.7.2., fracción I, segundo párrafo y penúltimo párrafo, hasta en tanto el SAT incorpore el envío de la información de dicha regla en el buzón tributario, ésta deberá proporcionarse mediante escrito libre dirigido a la AGH, a través de un caso de aclaración en el Portal del SAT.</w:t>
      </w:r>
    </w:p>
    <w:p w:rsidR="007E4C85" w:rsidRPr="00875027" w:rsidRDefault="007E4C85" w:rsidP="007E4C85">
      <w:pPr>
        <w:pStyle w:val="k"/>
        <w:tabs>
          <w:tab w:val="left" w:pos="1418"/>
        </w:tabs>
        <w:spacing w:after="0" w:line="240" w:lineRule="auto"/>
        <w:ind w:left="1418" w:hanging="1418"/>
        <w:rPr>
          <w:rFonts w:ascii="Soberana Sans" w:hAnsi="Soberana Sans"/>
          <w:b/>
        </w:rPr>
      </w:pPr>
    </w:p>
    <w:p w:rsidR="007E4C85" w:rsidRPr="00875027" w:rsidRDefault="00337EC5" w:rsidP="007E4C85">
      <w:pPr>
        <w:pStyle w:val="k"/>
        <w:tabs>
          <w:tab w:val="left" w:pos="1418"/>
        </w:tabs>
        <w:spacing w:after="0" w:line="240" w:lineRule="auto"/>
        <w:ind w:left="1418" w:hanging="1418"/>
        <w:rPr>
          <w:rFonts w:ascii="Soberana Sans" w:hAnsi="Soberana Sans"/>
          <w:color w:val="000000" w:themeColor="text1"/>
          <w:szCs w:val="18"/>
          <w:lang w:val="es-MX"/>
        </w:rPr>
      </w:pPr>
      <w:r>
        <w:rPr>
          <w:rFonts w:ascii="Soberana Sans" w:hAnsi="Soberana Sans"/>
          <w:b/>
        </w:rPr>
        <w:t>Octavo</w:t>
      </w:r>
      <w:r w:rsidR="007E4C85" w:rsidRPr="00875027">
        <w:rPr>
          <w:rFonts w:ascii="Soberana Sans" w:hAnsi="Soberana Sans"/>
          <w:b/>
        </w:rPr>
        <w:t>.</w:t>
      </w:r>
      <w:r w:rsidR="007E4C85" w:rsidRPr="00875027">
        <w:rPr>
          <w:rFonts w:ascii="Soberana Sans" w:hAnsi="Soberana Sans"/>
        </w:rPr>
        <w:tab/>
        <w:t>Lo dispuesto en las reglas 2.4.19. y 2.4.20., será aplicable a partir del 1 de enero de 2017.</w:t>
      </w:r>
    </w:p>
    <w:p w:rsidR="007E4C85" w:rsidRPr="00875027" w:rsidRDefault="007E4C85" w:rsidP="00D66B34">
      <w:pPr>
        <w:pStyle w:val="k"/>
        <w:tabs>
          <w:tab w:val="left" w:pos="1418"/>
        </w:tabs>
        <w:spacing w:after="0" w:line="240" w:lineRule="auto"/>
        <w:ind w:left="1418" w:hanging="1418"/>
        <w:rPr>
          <w:rFonts w:ascii="Soberana Sans" w:hAnsi="Soberana Sans"/>
          <w:szCs w:val="18"/>
        </w:rPr>
      </w:pPr>
    </w:p>
    <w:p w:rsidR="00F537FE" w:rsidRPr="00875027" w:rsidRDefault="00F537FE" w:rsidP="00D66B34">
      <w:pPr>
        <w:pStyle w:val="k"/>
        <w:tabs>
          <w:tab w:val="left" w:pos="1418"/>
        </w:tabs>
        <w:spacing w:after="0" w:line="240" w:lineRule="auto"/>
        <w:ind w:left="1418" w:hanging="1418"/>
        <w:rPr>
          <w:rFonts w:ascii="Soberana Sans" w:hAnsi="Soberana Sans"/>
          <w:szCs w:val="18"/>
        </w:rPr>
      </w:pPr>
    </w:p>
    <w:p w:rsidR="00D66B34" w:rsidRDefault="00D66B34" w:rsidP="00D66B34">
      <w:pPr>
        <w:pStyle w:val="k"/>
        <w:tabs>
          <w:tab w:val="left" w:pos="1418"/>
        </w:tabs>
        <w:spacing w:after="0" w:line="240" w:lineRule="auto"/>
        <w:ind w:left="1418" w:hanging="1418"/>
        <w:rPr>
          <w:rFonts w:ascii="Soberana Sans" w:hAnsi="Soberana Sans"/>
          <w:szCs w:val="18"/>
        </w:rPr>
      </w:pPr>
    </w:p>
    <w:p w:rsidR="00F358D0" w:rsidRDefault="00F358D0" w:rsidP="00D66B34">
      <w:pPr>
        <w:pStyle w:val="k"/>
        <w:tabs>
          <w:tab w:val="left" w:pos="1418"/>
        </w:tabs>
        <w:spacing w:after="0" w:line="240" w:lineRule="auto"/>
        <w:ind w:left="1418" w:hanging="1418"/>
        <w:rPr>
          <w:rFonts w:ascii="Soberana Sans" w:hAnsi="Soberana Sans"/>
          <w:szCs w:val="18"/>
        </w:rPr>
      </w:pPr>
    </w:p>
    <w:p w:rsidR="00337EC5" w:rsidRDefault="00337EC5" w:rsidP="00D66B34">
      <w:pPr>
        <w:pStyle w:val="k"/>
        <w:tabs>
          <w:tab w:val="left" w:pos="1418"/>
        </w:tabs>
        <w:spacing w:after="0" w:line="240" w:lineRule="auto"/>
        <w:ind w:left="1418" w:hanging="1418"/>
        <w:rPr>
          <w:rFonts w:ascii="Soberana Sans" w:hAnsi="Soberana Sans"/>
          <w:szCs w:val="18"/>
        </w:rPr>
      </w:pPr>
    </w:p>
    <w:p w:rsidR="00337EC5" w:rsidRDefault="00337EC5" w:rsidP="00D66B34">
      <w:pPr>
        <w:pStyle w:val="k"/>
        <w:tabs>
          <w:tab w:val="left" w:pos="1418"/>
        </w:tabs>
        <w:spacing w:after="0" w:line="240" w:lineRule="auto"/>
        <w:ind w:left="1418" w:hanging="1418"/>
        <w:rPr>
          <w:rFonts w:ascii="Soberana Sans" w:hAnsi="Soberana Sans"/>
          <w:szCs w:val="18"/>
        </w:rPr>
      </w:pPr>
    </w:p>
    <w:p w:rsidR="00337EC5" w:rsidRDefault="00337EC5" w:rsidP="00D66B34">
      <w:pPr>
        <w:pStyle w:val="k"/>
        <w:tabs>
          <w:tab w:val="left" w:pos="1418"/>
        </w:tabs>
        <w:spacing w:after="0" w:line="240" w:lineRule="auto"/>
        <w:ind w:left="1418" w:hanging="1418"/>
        <w:rPr>
          <w:rFonts w:ascii="Soberana Sans" w:hAnsi="Soberana Sans"/>
          <w:szCs w:val="18"/>
        </w:rPr>
      </w:pPr>
    </w:p>
    <w:p w:rsidR="00337EC5" w:rsidRPr="00875027" w:rsidRDefault="00337EC5" w:rsidP="00D66B34">
      <w:pPr>
        <w:pStyle w:val="k"/>
        <w:tabs>
          <w:tab w:val="left" w:pos="1418"/>
        </w:tabs>
        <w:spacing w:after="0" w:line="240" w:lineRule="auto"/>
        <w:ind w:left="1418" w:hanging="1418"/>
        <w:rPr>
          <w:rFonts w:ascii="Soberana Sans" w:hAnsi="Soberana Sans"/>
          <w:szCs w:val="18"/>
        </w:rPr>
      </w:pPr>
    </w:p>
    <w:p w:rsidR="00B73CF7" w:rsidRPr="00875027" w:rsidRDefault="00B73CF7" w:rsidP="003B44C3">
      <w:pPr>
        <w:ind w:firstLine="708"/>
        <w:jc w:val="center"/>
        <w:rPr>
          <w:rFonts w:ascii="Soberana Sans" w:hAnsi="Soberana Sans"/>
          <w:sz w:val="18"/>
          <w:szCs w:val="18"/>
        </w:rPr>
      </w:pPr>
    </w:p>
    <w:p w:rsidR="00DD6B94" w:rsidRPr="00875027" w:rsidRDefault="00DD6B94" w:rsidP="003B44C3">
      <w:pPr>
        <w:ind w:firstLine="708"/>
        <w:jc w:val="center"/>
        <w:rPr>
          <w:rFonts w:ascii="Soberana Sans" w:hAnsi="Soberana Sans"/>
          <w:sz w:val="18"/>
          <w:szCs w:val="18"/>
        </w:rPr>
      </w:pPr>
    </w:p>
    <w:p w:rsidR="00DD6B94" w:rsidRPr="00875027" w:rsidRDefault="00DD6B94" w:rsidP="003B44C3">
      <w:pPr>
        <w:ind w:firstLine="4536"/>
        <w:rPr>
          <w:rFonts w:ascii="Soberana Sans" w:hAnsi="Soberana Sans" w:cs="Arial"/>
          <w:sz w:val="18"/>
          <w:szCs w:val="18"/>
        </w:rPr>
      </w:pPr>
      <w:r w:rsidRPr="00875027">
        <w:rPr>
          <w:rFonts w:ascii="Soberana Sans" w:hAnsi="Soberana Sans" w:cs="Arial"/>
          <w:sz w:val="18"/>
          <w:szCs w:val="18"/>
        </w:rPr>
        <w:t>Atentamente</w:t>
      </w:r>
    </w:p>
    <w:p w:rsidR="00DD6B94" w:rsidRPr="00875027" w:rsidRDefault="00DD6B94" w:rsidP="003B44C3">
      <w:pPr>
        <w:ind w:left="4500" w:firstLine="284"/>
        <w:rPr>
          <w:rFonts w:ascii="Soberana Sans" w:hAnsi="Soberana Sans" w:cs="Arial"/>
          <w:sz w:val="18"/>
          <w:szCs w:val="18"/>
        </w:rPr>
      </w:pPr>
    </w:p>
    <w:p w:rsidR="00DD6B94" w:rsidRPr="00875027" w:rsidRDefault="00DD6B94" w:rsidP="003B44C3">
      <w:pPr>
        <w:ind w:firstLine="4536"/>
        <w:rPr>
          <w:rFonts w:ascii="Soberana Sans" w:hAnsi="Soberana Sans" w:cs="Arial"/>
          <w:sz w:val="18"/>
          <w:szCs w:val="18"/>
        </w:rPr>
      </w:pPr>
      <w:r w:rsidRPr="00875027">
        <w:rPr>
          <w:rFonts w:ascii="Soberana Sans" w:hAnsi="Soberana Sans" w:cs="Arial"/>
          <w:sz w:val="18"/>
          <w:szCs w:val="18"/>
        </w:rPr>
        <w:t>Ciudad de México, ……………………………</w:t>
      </w:r>
      <w:proofErr w:type="gramStart"/>
      <w:r w:rsidRPr="00875027">
        <w:rPr>
          <w:rFonts w:ascii="Soberana Sans" w:hAnsi="Soberana Sans" w:cs="Arial"/>
          <w:sz w:val="18"/>
          <w:szCs w:val="18"/>
        </w:rPr>
        <w:t>…….</w:t>
      </w:r>
      <w:proofErr w:type="gramEnd"/>
      <w:r w:rsidRPr="00875027">
        <w:rPr>
          <w:rFonts w:ascii="Soberana Sans" w:hAnsi="Soberana Sans" w:cs="Arial"/>
          <w:sz w:val="18"/>
          <w:szCs w:val="18"/>
        </w:rPr>
        <w:t>. de 2017</w:t>
      </w:r>
    </w:p>
    <w:p w:rsidR="00DD6B94" w:rsidRPr="00875027" w:rsidRDefault="00DD6B94" w:rsidP="003B44C3">
      <w:pPr>
        <w:tabs>
          <w:tab w:val="left" w:pos="8931"/>
        </w:tabs>
        <w:ind w:firstLine="4536"/>
        <w:rPr>
          <w:rFonts w:ascii="Soberana Sans" w:hAnsi="Soberana Sans" w:cs="Arial"/>
          <w:sz w:val="18"/>
          <w:szCs w:val="18"/>
        </w:rPr>
      </w:pPr>
    </w:p>
    <w:p w:rsidR="00DD6B94" w:rsidRPr="00875027" w:rsidRDefault="00DD6B94" w:rsidP="003B44C3">
      <w:pPr>
        <w:tabs>
          <w:tab w:val="left" w:pos="8931"/>
        </w:tabs>
        <w:ind w:firstLine="4536"/>
        <w:rPr>
          <w:rFonts w:ascii="Soberana Sans" w:hAnsi="Soberana Sans" w:cs="Arial"/>
          <w:sz w:val="18"/>
          <w:szCs w:val="18"/>
        </w:rPr>
      </w:pPr>
      <w:r w:rsidRPr="00875027">
        <w:rPr>
          <w:rFonts w:ascii="Soberana Sans" w:hAnsi="Soberana Sans" w:cs="Arial"/>
          <w:sz w:val="18"/>
          <w:szCs w:val="18"/>
        </w:rPr>
        <w:t>El Jefe del Servicio de Administración Tributaria</w:t>
      </w:r>
    </w:p>
    <w:p w:rsidR="00DD6B94" w:rsidRPr="00875027" w:rsidRDefault="00DD6B94" w:rsidP="003B44C3">
      <w:pPr>
        <w:ind w:left="4536"/>
        <w:rPr>
          <w:rFonts w:ascii="Soberana Sans" w:hAnsi="Soberana Sans"/>
          <w:sz w:val="18"/>
          <w:szCs w:val="18"/>
        </w:rPr>
      </w:pPr>
    </w:p>
    <w:p w:rsidR="00DD6B94" w:rsidRPr="00875027" w:rsidRDefault="00DD6B94" w:rsidP="003B44C3">
      <w:pPr>
        <w:ind w:left="4536"/>
        <w:rPr>
          <w:rFonts w:ascii="Soberana Sans" w:hAnsi="Soberana Sans"/>
          <w:sz w:val="18"/>
          <w:szCs w:val="18"/>
        </w:rPr>
      </w:pPr>
    </w:p>
    <w:p w:rsidR="00DD6B94" w:rsidRPr="00875027" w:rsidRDefault="00DD6B94" w:rsidP="003B44C3">
      <w:pPr>
        <w:ind w:left="4536"/>
        <w:rPr>
          <w:rFonts w:ascii="Soberana Sans" w:hAnsi="Soberana Sans"/>
          <w:sz w:val="18"/>
          <w:szCs w:val="18"/>
        </w:rPr>
      </w:pPr>
    </w:p>
    <w:p w:rsidR="00DD6B94" w:rsidRPr="00875027" w:rsidRDefault="00DD6B94" w:rsidP="003B44C3">
      <w:pPr>
        <w:ind w:left="4536"/>
        <w:rPr>
          <w:rFonts w:ascii="Soberana Sans" w:hAnsi="Soberana Sans"/>
          <w:sz w:val="18"/>
          <w:szCs w:val="18"/>
        </w:rPr>
      </w:pPr>
    </w:p>
    <w:p w:rsidR="00DD6B94" w:rsidRPr="003B44C3" w:rsidRDefault="00DD6B94" w:rsidP="003B44C3">
      <w:pPr>
        <w:ind w:left="4536"/>
        <w:rPr>
          <w:rFonts w:ascii="Soberana Sans" w:hAnsi="Soberana Sans" w:cs="Arial"/>
          <w:sz w:val="18"/>
          <w:szCs w:val="18"/>
          <w:lang w:val="es-ES"/>
        </w:rPr>
      </w:pPr>
      <w:r w:rsidRPr="00875027">
        <w:rPr>
          <w:rFonts w:ascii="Soberana Sans" w:hAnsi="Soberana Sans"/>
          <w:sz w:val="18"/>
          <w:szCs w:val="18"/>
        </w:rPr>
        <w:t>Osvaldo Antonio Santín Quiroz</w:t>
      </w:r>
    </w:p>
    <w:p w:rsidR="00DD6B94" w:rsidRPr="003B44C3" w:rsidRDefault="00DD6B94" w:rsidP="003B44C3">
      <w:pPr>
        <w:ind w:firstLine="708"/>
        <w:jc w:val="center"/>
        <w:rPr>
          <w:rFonts w:ascii="Soberana Sans" w:hAnsi="Soberana Sans"/>
          <w:b/>
          <w:sz w:val="18"/>
          <w:szCs w:val="18"/>
        </w:rPr>
      </w:pPr>
    </w:p>
    <w:sectPr w:rsidR="00DD6B94" w:rsidRPr="003B44C3" w:rsidSect="0058722F">
      <w:headerReference w:type="default" r:id="rId10"/>
      <w:footerReference w:type="default" r:id="rId11"/>
      <w:pgSz w:w="12240" w:h="15840"/>
      <w:pgMar w:top="212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5A" w:rsidRDefault="00502B5A" w:rsidP="00003F86">
      <w:r>
        <w:separator/>
      </w:r>
    </w:p>
  </w:endnote>
  <w:endnote w:type="continuationSeparator" w:id="0">
    <w:p w:rsidR="00502B5A" w:rsidRDefault="00502B5A" w:rsidP="000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120147333"/>
      <w:docPartObj>
        <w:docPartGallery w:val="Page Numbers (Bottom of Page)"/>
        <w:docPartUnique/>
      </w:docPartObj>
    </w:sdtPr>
    <w:sdtEndPr/>
    <w:sdtContent>
      <w:p w:rsidR="00933BA7" w:rsidRPr="009F0156" w:rsidRDefault="00933BA7" w:rsidP="00095F9E">
        <w:pPr>
          <w:spacing w:beforeLines="1" w:before="2" w:afterLines="1" w:after="2"/>
          <w:rPr>
            <w:rFonts w:ascii="Soberana Sans" w:eastAsia="Calibri" w:hAnsi="Soberana Sans" w:cs="Arial"/>
            <w:sz w:val="18"/>
            <w:szCs w:val="18"/>
            <w:lang w:val="es-ES_tradnl" w:eastAsia="es-ES_tradnl"/>
          </w:rPr>
        </w:pPr>
        <w:r w:rsidRPr="009F0156">
          <w:rPr>
            <w:rFonts w:ascii="Soberana Sans" w:eastAsia="Calibri" w:hAnsi="Soberana Sans" w:cs="Arial"/>
            <w:sz w:val="18"/>
            <w:szCs w:val="18"/>
            <w:lang w:val="es-ES_tradnl" w:eastAsia="es-ES_tradnl"/>
          </w:rPr>
          <w:t>Nota: El presente documento se da a conocer en la página de Internet del</w:t>
        </w:r>
        <w:r>
          <w:rPr>
            <w:rFonts w:ascii="Soberana Sans" w:eastAsia="Calibri" w:hAnsi="Soberana Sans" w:cs="Arial"/>
            <w:sz w:val="18"/>
            <w:szCs w:val="18"/>
            <w:lang w:val="es-ES_tradnl" w:eastAsia="es-ES_tradnl"/>
          </w:rPr>
          <w:t xml:space="preserve"> SAT en términos de la regla 1.8</w:t>
        </w:r>
        <w:r w:rsidRPr="009F0156">
          <w:rPr>
            <w:rFonts w:ascii="Soberana Sans" w:eastAsia="Calibri" w:hAnsi="Soberana Sans" w:cs="Arial"/>
            <w:sz w:val="18"/>
            <w:szCs w:val="18"/>
            <w:lang w:val="es-ES_tradnl" w:eastAsia="es-ES_tradnl"/>
          </w:rPr>
          <w:t xml:space="preserve">. </w:t>
        </w:r>
      </w:p>
      <w:p w:rsidR="00933BA7" w:rsidRDefault="00933BA7">
        <w:pPr>
          <w:pStyle w:val="Piedepgina"/>
          <w:jc w:val="right"/>
        </w:pPr>
        <w:r>
          <w:fldChar w:fldCharType="begin"/>
        </w:r>
        <w:r>
          <w:instrText>PAGE   \* MERGEFORMAT</w:instrText>
        </w:r>
        <w:r>
          <w:fldChar w:fldCharType="separate"/>
        </w:r>
        <w:r w:rsidR="00542C4E" w:rsidRPr="00542C4E">
          <w:rPr>
            <w:noProof/>
            <w:lang w:val="es-ES"/>
          </w:rPr>
          <w:t>5</w:t>
        </w:r>
        <w:r>
          <w:fldChar w:fldCharType="end"/>
        </w:r>
      </w:p>
    </w:sdtContent>
  </w:sdt>
  <w:p w:rsidR="00933BA7" w:rsidRDefault="00933BA7">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5A" w:rsidRDefault="00502B5A" w:rsidP="00003F86">
      <w:r>
        <w:separator/>
      </w:r>
    </w:p>
  </w:footnote>
  <w:footnote w:type="continuationSeparator" w:id="0">
    <w:p w:rsidR="00502B5A" w:rsidRDefault="00502B5A" w:rsidP="000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BA7" w:rsidRDefault="00933BA7">
    <w:pPr>
      <w:pStyle w:val="Encabezado"/>
    </w:pPr>
    <w:r>
      <w:rPr>
        <w:noProof/>
        <w:lang w:eastAsia="es-MX"/>
      </w:rPr>
      <w:drawing>
        <wp:anchor distT="0" distB="0" distL="114300" distR="114300" simplePos="0" relativeHeight="251661312" behindDoc="0" locked="0" layoutInCell="1" allowOverlap="1" wp14:anchorId="1866E4B6" wp14:editId="3E60DB4E">
          <wp:simplePos x="0" y="0"/>
          <wp:positionH relativeFrom="column">
            <wp:posOffset>3549650</wp:posOffset>
          </wp:positionH>
          <wp:positionV relativeFrom="paragraph">
            <wp:posOffset>107315</wp:posOffset>
          </wp:positionV>
          <wp:extent cx="1905000" cy="38163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41318" t="27777" r="10419" b="56897"/>
                  <a:stretch>
                    <a:fillRect/>
                  </a:stretch>
                </pic:blipFill>
                <pic:spPr bwMode="auto">
                  <a:xfrm>
                    <a:off x="0" y="0"/>
                    <a:ext cx="1905000" cy="381635"/>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59264" behindDoc="1" locked="0" layoutInCell="1" allowOverlap="1" wp14:anchorId="1647866A" wp14:editId="50FC3E97">
          <wp:simplePos x="0" y="0"/>
          <wp:positionH relativeFrom="column">
            <wp:posOffset>0</wp:posOffset>
          </wp:positionH>
          <wp:positionV relativeFrom="paragraph">
            <wp:posOffset>-635</wp:posOffset>
          </wp:positionV>
          <wp:extent cx="2048510" cy="628015"/>
          <wp:effectExtent l="19050" t="0" r="8890" b="0"/>
          <wp:wrapNone/>
          <wp:docPr id="20" name="Imagen 9" descr="SHCP_horizontal_Negr#5CA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HCP_horizontal_Negr#5CA773"/>
                  <pic:cNvPicPr>
                    <a:picLocks noChangeAspect="1" noChangeArrowheads="1"/>
                  </pic:cNvPicPr>
                </pic:nvPicPr>
                <pic:blipFill>
                  <a:blip r:embed="rId2"/>
                  <a:srcRect t="23241" b="36920"/>
                  <a:stretch>
                    <a:fillRect/>
                  </a:stretch>
                </pic:blipFill>
                <pic:spPr bwMode="auto">
                  <a:xfrm>
                    <a:off x="0" y="0"/>
                    <a:ext cx="2048510" cy="6280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C0199"/>
    <w:multiLevelType w:val="multilevel"/>
    <w:tmpl w:val="CF825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6A7250"/>
    <w:multiLevelType w:val="hybridMultilevel"/>
    <w:tmpl w:val="2EF2712C"/>
    <w:lvl w:ilvl="0" w:tplc="080A0001">
      <w:start w:val="1"/>
      <w:numFmt w:val="bullet"/>
      <w:lvlText w:val=""/>
      <w:lvlJc w:val="left"/>
      <w:pPr>
        <w:ind w:left="2592" w:hanging="360"/>
      </w:pPr>
      <w:rPr>
        <w:rFonts w:ascii="Symbol" w:hAnsi="Symbol" w:hint="default"/>
      </w:rPr>
    </w:lvl>
    <w:lvl w:ilvl="1" w:tplc="080A0003" w:tentative="1">
      <w:start w:val="1"/>
      <w:numFmt w:val="bullet"/>
      <w:lvlText w:val="o"/>
      <w:lvlJc w:val="left"/>
      <w:pPr>
        <w:ind w:left="3312" w:hanging="360"/>
      </w:pPr>
      <w:rPr>
        <w:rFonts w:ascii="Courier New" w:hAnsi="Courier New" w:cs="Courier New" w:hint="default"/>
      </w:rPr>
    </w:lvl>
    <w:lvl w:ilvl="2" w:tplc="080A0005" w:tentative="1">
      <w:start w:val="1"/>
      <w:numFmt w:val="bullet"/>
      <w:lvlText w:val=""/>
      <w:lvlJc w:val="left"/>
      <w:pPr>
        <w:ind w:left="4032" w:hanging="360"/>
      </w:pPr>
      <w:rPr>
        <w:rFonts w:ascii="Wingdings" w:hAnsi="Wingdings" w:hint="default"/>
      </w:rPr>
    </w:lvl>
    <w:lvl w:ilvl="3" w:tplc="080A0001" w:tentative="1">
      <w:start w:val="1"/>
      <w:numFmt w:val="bullet"/>
      <w:lvlText w:val=""/>
      <w:lvlJc w:val="left"/>
      <w:pPr>
        <w:ind w:left="4752" w:hanging="360"/>
      </w:pPr>
      <w:rPr>
        <w:rFonts w:ascii="Symbol" w:hAnsi="Symbol" w:hint="default"/>
      </w:rPr>
    </w:lvl>
    <w:lvl w:ilvl="4" w:tplc="080A0003" w:tentative="1">
      <w:start w:val="1"/>
      <w:numFmt w:val="bullet"/>
      <w:lvlText w:val="o"/>
      <w:lvlJc w:val="left"/>
      <w:pPr>
        <w:ind w:left="5472" w:hanging="360"/>
      </w:pPr>
      <w:rPr>
        <w:rFonts w:ascii="Courier New" w:hAnsi="Courier New" w:cs="Courier New" w:hint="default"/>
      </w:rPr>
    </w:lvl>
    <w:lvl w:ilvl="5" w:tplc="080A0005" w:tentative="1">
      <w:start w:val="1"/>
      <w:numFmt w:val="bullet"/>
      <w:lvlText w:val=""/>
      <w:lvlJc w:val="left"/>
      <w:pPr>
        <w:ind w:left="6192" w:hanging="360"/>
      </w:pPr>
      <w:rPr>
        <w:rFonts w:ascii="Wingdings" w:hAnsi="Wingdings" w:hint="default"/>
      </w:rPr>
    </w:lvl>
    <w:lvl w:ilvl="6" w:tplc="080A0001" w:tentative="1">
      <w:start w:val="1"/>
      <w:numFmt w:val="bullet"/>
      <w:lvlText w:val=""/>
      <w:lvlJc w:val="left"/>
      <w:pPr>
        <w:ind w:left="6912" w:hanging="360"/>
      </w:pPr>
      <w:rPr>
        <w:rFonts w:ascii="Symbol" w:hAnsi="Symbol" w:hint="default"/>
      </w:rPr>
    </w:lvl>
    <w:lvl w:ilvl="7" w:tplc="080A0003" w:tentative="1">
      <w:start w:val="1"/>
      <w:numFmt w:val="bullet"/>
      <w:lvlText w:val="o"/>
      <w:lvlJc w:val="left"/>
      <w:pPr>
        <w:ind w:left="7632" w:hanging="360"/>
      </w:pPr>
      <w:rPr>
        <w:rFonts w:ascii="Courier New" w:hAnsi="Courier New" w:cs="Courier New" w:hint="default"/>
      </w:rPr>
    </w:lvl>
    <w:lvl w:ilvl="8" w:tplc="080A0005" w:tentative="1">
      <w:start w:val="1"/>
      <w:numFmt w:val="bullet"/>
      <w:lvlText w:val=""/>
      <w:lvlJc w:val="left"/>
      <w:pPr>
        <w:ind w:left="83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86"/>
    <w:rsid w:val="00003F86"/>
    <w:rsid w:val="00016475"/>
    <w:rsid w:val="00020223"/>
    <w:rsid w:val="000275C7"/>
    <w:rsid w:val="0002791E"/>
    <w:rsid w:val="00043DE6"/>
    <w:rsid w:val="00056E7D"/>
    <w:rsid w:val="00066C06"/>
    <w:rsid w:val="0007066E"/>
    <w:rsid w:val="000769C5"/>
    <w:rsid w:val="000942EC"/>
    <w:rsid w:val="00095964"/>
    <w:rsid w:val="00095F9E"/>
    <w:rsid w:val="0009686A"/>
    <w:rsid w:val="000A0FF4"/>
    <w:rsid w:val="000B4323"/>
    <w:rsid w:val="000B4A8E"/>
    <w:rsid w:val="000E0DC8"/>
    <w:rsid w:val="000E7A66"/>
    <w:rsid w:val="000F4F1F"/>
    <w:rsid w:val="00124437"/>
    <w:rsid w:val="00127751"/>
    <w:rsid w:val="00140555"/>
    <w:rsid w:val="001526EF"/>
    <w:rsid w:val="001649DF"/>
    <w:rsid w:val="00173F25"/>
    <w:rsid w:val="00180309"/>
    <w:rsid w:val="00185E2E"/>
    <w:rsid w:val="00186DD7"/>
    <w:rsid w:val="001A1AC2"/>
    <w:rsid w:val="001A277E"/>
    <w:rsid w:val="001B32E3"/>
    <w:rsid w:val="001B3753"/>
    <w:rsid w:val="001B527B"/>
    <w:rsid w:val="001B787A"/>
    <w:rsid w:val="001C6B94"/>
    <w:rsid w:val="001C7DAB"/>
    <w:rsid w:val="001E337B"/>
    <w:rsid w:val="001E7B06"/>
    <w:rsid w:val="00211E9A"/>
    <w:rsid w:val="00217262"/>
    <w:rsid w:val="002173BF"/>
    <w:rsid w:val="002266A1"/>
    <w:rsid w:val="00232191"/>
    <w:rsid w:val="00236486"/>
    <w:rsid w:val="0025303C"/>
    <w:rsid w:val="00257FA7"/>
    <w:rsid w:val="00275312"/>
    <w:rsid w:val="00283FB4"/>
    <w:rsid w:val="00286206"/>
    <w:rsid w:val="0029018E"/>
    <w:rsid w:val="002901A9"/>
    <w:rsid w:val="0029075B"/>
    <w:rsid w:val="002A2062"/>
    <w:rsid w:val="002B28DE"/>
    <w:rsid w:val="002B39A7"/>
    <w:rsid w:val="002E5066"/>
    <w:rsid w:val="002F5045"/>
    <w:rsid w:val="002F6347"/>
    <w:rsid w:val="00306341"/>
    <w:rsid w:val="00310ECA"/>
    <w:rsid w:val="00316B71"/>
    <w:rsid w:val="00336E7F"/>
    <w:rsid w:val="003374E3"/>
    <w:rsid w:val="00337EC5"/>
    <w:rsid w:val="00344F74"/>
    <w:rsid w:val="003465DD"/>
    <w:rsid w:val="0034753A"/>
    <w:rsid w:val="00360899"/>
    <w:rsid w:val="00362FFF"/>
    <w:rsid w:val="003645EB"/>
    <w:rsid w:val="00373633"/>
    <w:rsid w:val="003750F1"/>
    <w:rsid w:val="0038281A"/>
    <w:rsid w:val="003B0EFC"/>
    <w:rsid w:val="003B44C3"/>
    <w:rsid w:val="003B6EAF"/>
    <w:rsid w:val="003C27EE"/>
    <w:rsid w:val="003C2849"/>
    <w:rsid w:val="003C3422"/>
    <w:rsid w:val="003D03C6"/>
    <w:rsid w:val="004133C4"/>
    <w:rsid w:val="00415F91"/>
    <w:rsid w:val="00424827"/>
    <w:rsid w:val="004271D1"/>
    <w:rsid w:val="00433D37"/>
    <w:rsid w:val="00442124"/>
    <w:rsid w:val="004437E6"/>
    <w:rsid w:val="004501A7"/>
    <w:rsid w:val="00450C31"/>
    <w:rsid w:val="00452BE1"/>
    <w:rsid w:val="00462828"/>
    <w:rsid w:val="00477AFA"/>
    <w:rsid w:val="0048665C"/>
    <w:rsid w:val="00494916"/>
    <w:rsid w:val="0049729B"/>
    <w:rsid w:val="004A3310"/>
    <w:rsid w:val="004B6F43"/>
    <w:rsid w:val="004D2C4C"/>
    <w:rsid w:val="004D343F"/>
    <w:rsid w:val="004D6BAD"/>
    <w:rsid w:val="004D7B00"/>
    <w:rsid w:val="004F6347"/>
    <w:rsid w:val="00501BFB"/>
    <w:rsid w:val="00502407"/>
    <w:rsid w:val="00502B5A"/>
    <w:rsid w:val="00531A29"/>
    <w:rsid w:val="00533203"/>
    <w:rsid w:val="0054061F"/>
    <w:rsid w:val="00540F5C"/>
    <w:rsid w:val="00542C4E"/>
    <w:rsid w:val="00562E4B"/>
    <w:rsid w:val="0057114F"/>
    <w:rsid w:val="005763D9"/>
    <w:rsid w:val="00577F79"/>
    <w:rsid w:val="00585748"/>
    <w:rsid w:val="0058722F"/>
    <w:rsid w:val="005954AB"/>
    <w:rsid w:val="005B4124"/>
    <w:rsid w:val="005C362B"/>
    <w:rsid w:val="005D432A"/>
    <w:rsid w:val="005E6E6D"/>
    <w:rsid w:val="005F1657"/>
    <w:rsid w:val="005F2C45"/>
    <w:rsid w:val="00611644"/>
    <w:rsid w:val="00614595"/>
    <w:rsid w:val="00631BD5"/>
    <w:rsid w:val="00632DF8"/>
    <w:rsid w:val="0063564B"/>
    <w:rsid w:val="00635FBD"/>
    <w:rsid w:val="00643F1A"/>
    <w:rsid w:val="00652CD7"/>
    <w:rsid w:val="00654C6F"/>
    <w:rsid w:val="006624CF"/>
    <w:rsid w:val="006802E5"/>
    <w:rsid w:val="00692CD8"/>
    <w:rsid w:val="0069674E"/>
    <w:rsid w:val="006B7535"/>
    <w:rsid w:val="006C0BF8"/>
    <w:rsid w:val="006C37C2"/>
    <w:rsid w:val="006C7C94"/>
    <w:rsid w:val="006F11C3"/>
    <w:rsid w:val="006F5905"/>
    <w:rsid w:val="00704EE3"/>
    <w:rsid w:val="00712DB1"/>
    <w:rsid w:val="00747821"/>
    <w:rsid w:val="007665DF"/>
    <w:rsid w:val="0078779D"/>
    <w:rsid w:val="00792E5A"/>
    <w:rsid w:val="007A086B"/>
    <w:rsid w:val="007E1DF1"/>
    <w:rsid w:val="007E4C85"/>
    <w:rsid w:val="008271ED"/>
    <w:rsid w:val="008425CE"/>
    <w:rsid w:val="0084399C"/>
    <w:rsid w:val="008470DF"/>
    <w:rsid w:val="00847686"/>
    <w:rsid w:val="00856838"/>
    <w:rsid w:val="00857C0D"/>
    <w:rsid w:val="00867C31"/>
    <w:rsid w:val="008724BC"/>
    <w:rsid w:val="00873113"/>
    <w:rsid w:val="00875027"/>
    <w:rsid w:val="00883F77"/>
    <w:rsid w:val="00896A0A"/>
    <w:rsid w:val="008A2698"/>
    <w:rsid w:val="008A389B"/>
    <w:rsid w:val="008A481C"/>
    <w:rsid w:val="008B7103"/>
    <w:rsid w:val="008C16E7"/>
    <w:rsid w:val="008C28BF"/>
    <w:rsid w:val="008C3436"/>
    <w:rsid w:val="008D0C54"/>
    <w:rsid w:val="008D0E59"/>
    <w:rsid w:val="0090350D"/>
    <w:rsid w:val="009071E6"/>
    <w:rsid w:val="00922F7B"/>
    <w:rsid w:val="00933BA7"/>
    <w:rsid w:val="00935643"/>
    <w:rsid w:val="009364E6"/>
    <w:rsid w:val="00940A94"/>
    <w:rsid w:val="0094191D"/>
    <w:rsid w:val="0094259D"/>
    <w:rsid w:val="009477E8"/>
    <w:rsid w:val="009539E4"/>
    <w:rsid w:val="00972754"/>
    <w:rsid w:val="00975605"/>
    <w:rsid w:val="00975A28"/>
    <w:rsid w:val="00993545"/>
    <w:rsid w:val="009B2F3A"/>
    <w:rsid w:val="009D296D"/>
    <w:rsid w:val="009D4933"/>
    <w:rsid w:val="009D65CE"/>
    <w:rsid w:val="009E2583"/>
    <w:rsid w:val="009E2D69"/>
    <w:rsid w:val="009E7CCA"/>
    <w:rsid w:val="00A016A8"/>
    <w:rsid w:val="00A03D1B"/>
    <w:rsid w:val="00A1383D"/>
    <w:rsid w:val="00A15BD6"/>
    <w:rsid w:val="00A267C4"/>
    <w:rsid w:val="00A3278C"/>
    <w:rsid w:val="00A33706"/>
    <w:rsid w:val="00A43D3D"/>
    <w:rsid w:val="00A462F9"/>
    <w:rsid w:val="00A52609"/>
    <w:rsid w:val="00A5692E"/>
    <w:rsid w:val="00A67332"/>
    <w:rsid w:val="00A76D38"/>
    <w:rsid w:val="00A85D14"/>
    <w:rsid w:val="00A96FBE"/>
    <w:rsid w:val="00A97F10"/>
    <w:rsid w:val="00AD147C"/>
    <w:rsid w:val="00AE3DCD"/>
    <w:rsid w:val="00AE46CC"/>
    <w:rsid w:val="00AE606A"/>
    <w:rsid w:val="00AE61B1"/>
    <w:rsid w:val="00AE6E85"/>
    <w:rsid w:val="00AF2870"/>
    <w:rsid w:val="00AF35E0"/>
    <w:rsid w:val="00AF3DBD"/>
    <w:rsid w:val="00AF57C5"/>
    <w:rsid w:val="00B15A57"/>
    <w:rsid w:val="00B208C4"/>
    <w:rsid w:val="00B36BEA"/>
    <w:rsid w:val="00B47D70"/>
    <w:rsid w:val="00B52B83"/>
    <w:rsid w:val="00B60087"/>
    <w:rsid w:val="00B6508A"/>
    <w:rsid w:val="00B72EBA"/>
    <w:rsid w:val="00B72F0B"/>
    <w:rsid w:val="00B73CF7"/>
    <w:rsid w:val="00B745B1"/>
    <w:rsid w:val="00B762CA"/>
    <w:rsid w:val="00B76C1E"/>
    <w:rsid w:val="00BA1626"/>
    <w:rsid w:val="00BB69F2"/>
    <w:rsid w:val="00BC3F5F"/>
    <w:rsid w:val="00BC46C2"/>
    <w:rsid w:val="00BD30B5"/>
    <w:rsid w:val="00BD3DBF"/>
    <w:rsid w:val="00BF1A98"/>
    <w:rsid w:val="00BF61BF"/>
    <w:rsid w:val="00C07FE7"/>
    <w:rsid w:val="00C168A3"/>
    <w:rsid w:val="00C31F40"/>
    <w:rsid w:val="00C51EC1"/>
    <w:rsid w:val="00C6163F"/>
    <w:rsid w:val="00C721B4"/>
    <w:rsid w:val="00C726C6"/>
    <w:rsid w:val="00C74BA5"/>
    <w:rsid w:val="00C91551"/>
    <w:rsid w:val="00C93D32"/>
    <w:rsid w:val="00C96EE0"/>
    <w:rsid w:val="00CA1C54"/>
    <w:rsid w:val="00CB2E0B"/>
    <w:rsid w:val="00CC0802"/>
    <w:rsid w:val="00CF0AD8"/>
    <w:rsid w:val="00D32AF4"/>
    <w:rsid w:val="00D41E2E"/>
    <w:rsid w:val="00D4486D"/>
    <w:rsid w:val="00D51AF9"/>
    <w:rsid w:val="00D55751"/>
    <w:rsid w:val="00D57421"/>
    <w:rsid w:val="00D61C55"/>
    <w:rsid w:val="00D66B34"/>
    <w:rsid w:val="00D711DC"/>
    <w:rsid w:val="00D71A1C"/>
    <w:rsid w:val="00D7480F"/>
    <w:rsid w:val="00D8207C"/>
    <w:rsid w:val="00D908F8"/>
    <w:rsid w:val="00D90F4D"/>
    <w:rsid w:val="00DB3187"/>
    <w:rsid w:val="00DD6B94"/>
    <w:rsid w:val="00DE161A"/>
    <w:rsid w:val="00DE2A11"/>
    <w:rsid w:val="00E00FE9"/>
    <w:rsid w:val="00E2621F"/>
    <w:rsid w:val="00E320EB"/>
    <w:rsid w:val="00E40C37"/>
    <w:rsid w:val="00E42530"/>
    <w:rsid w:val="00E44A92"/>
    <w:rsid w:val="00E52AB5"/>
    <w:rsid w:val="00E56369"/>
    <w:rsid w:val="00E60DBA"/>
    <w:rsid w:val="00E62F58"/>
    <w:rsid w:val="00E736DC"/>
    <w:rsid w:val="00E73A55"/>
    <w:rsid w:val="00E76B4D"/>
    <w:rsid w:val="00E823D7"/>
    <w:rsid w:val="00E83D01"/>
    <w:rsid w:val="00E87708"/>
    <w:rsid w:val="00E95E9B"/>
    <w:rsid w:val="00EB7B64"/>
    <w:rsid w:val="00EC62C3"/>
    <w:rsid w:val="00ED1A5F"/>
    <w:rsid w:val="00ED68D2"/>
    <w:rsid w:val="00EE16C6"/>
    <w:rsid w:val="00EE7B53"/>
    <w:rsid w:val="00EF50B8"/>
    <w:rsid w:val="00EF73FF"/>
    <w:rsid w:val="00F05D79"/>
    <w:rsid w:val="00F130C7"/>
    <w:rsid w:val="00F161D2"/>
    <w:rsid w:val="00F217F0"/>
    <w:rsid w:val="00F232F6"/>
    <w:rsid w:val="00F264CE"/>
    <w:rsid w:val="00F3080A"/>
    <w:rsid w:val="00F358D0"/>
    <w:rsid w:val="00F360B4"/>
    <w:rsid w:val="00F5225D"/>
    <w:rsid w:val="00F537FE"/>
    <w:rsid w:val="00F60F2C"/>
    <w:rsid w:val="00F709D1"/>
    <w:rsid w:val="00F72EB0"/>
    <w:rsid w:val="00F73F46"/>
    <w:rsid w:val="00F87880"/>
    <w:rsid w:val="00FB0F7A"/>
    <w:rsid w:val="00FB1AE1"/>
    <w:rsid w:val="00FB2D86"/>
    <w:rsid w:val="00FC1AF2"/>
    <w:rsid w:val="00FE597E"/>
    <w:rsid w:val="00FE60EE"/>
    <w:rsid w:val="00FF5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32226D-4C2A-438F-937C-49805482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C0D"/>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F8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03F86"/>
  </w:style>
  <w:style w:type="paragraph" w:styleId="Piedepgina">
    <w:name w:val="footer"/>
    <w:basedOn w:val="Normal"/>
    <w:link w:val="PiedepginaCar"/>
    <w:uiPriority w:val="99"/>
    <w:unhideWhenUsed/>
    <w:rsid w:val="00003F8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03F86"/>
  </w:style>
  <w:style w:type="paragraph" w:styleId="Textoindependiente">
    <w:name w:val="Body Text"/>
    <w:basedOn w:val="Normal"/>
    <w:link w:val="TextoindependienteCar"/>
    <w:rsid w:val="00857C0D"/>
    <w:pPr>
      <w:jc w:val="both"/>
    </w:pPr>
    <w:rPr>
      <w:rFonts w:cs="Arial"/>
    </w:rPr>
  </w:style>
  <w:style w:type="character" w:customStyle="1" w:styleId="TextoindependienteCar">
    <w:name w:val="Texto independiente Car"/>
    <w:basedOn w:val="Fuentedeprrafopredeter"/>
    <w:link w:val="Textoindependiente"/>
    <w:rsid w:val="00857C0D"/>
    <w:rPr>
      <w:rFonts w:ascii="Arial" w:eastAsia="Times New Roman" w:hAnsi="Arial" w:cs="Arial"/>
      <w:sz w:val="24"/>
      <w:szCs w:val="24"/>
      <w:lang w:eastAsia="es-ES"/>
    </w:rPr>
  </w:style>
  <w:style w:type="paragraph" w:styleId="Ttulo">
    <w:name w:val="Title"/>
    <w:basedOn w:val="Normal"/>
    <w:link w:val="TtuloCar"/>
    <w:qFormat/>
    <w:rsid w:val="00857C0D"/>
    <w:pPr>
      <w:tabs>
        <w:tab w:val="left" w:pos="-720"/>
      </w:tabs>
      <w:spacing w:line="240" w:lineRule="exact"/>
      <w:ind w:right="18"/>
      <w:jc w:val="center"/>
    </w:pPr>
    <w:rPr>
      <w:b/>
      <w:sz w:val="20"/>
      <w:szCs w:val="20"/>
    </w:rPr>
  </w:style>
  <w:style w:type="character" w:customStyle="1" w:styleId="TtuloCar">
    <w:name w:val="Título Car"/>
    <w:basedOn w:val="Fuentedeprrafopredeter"/>
    <w:link w:val="Ttulo"/>
    <w:rsid w:val="00857C0D"/>
    <w:rPr>
      <w:rFonts w:ascii="Arial" w:eastAsia="Times New Roman" w:hAnsi="Arial" w:cs="Times New Roman"/>
      <w:b/>
      <w:sz w:val="20"/>
      <w:szCs w:val="20"/>
      <w:lang w:eastAsia="es-ES"/>
    </w:rPr>
  </w:style>
  <w:style w:type="paragraph" w:customStyle="1" w:styleId="Texto">
    <w:name w:val="Texto"/>
    <w:aliases w:val="independiente,independiente Car Car Car"/>
    <w:basedOn w:val="Normal"/>
    <w:link w:val="TextoCar"/>
    <w:qFormat/>
    <w:rsid w:val="00F73F46"/>
    <w:pPr>
      <w:spacing w:after="101" w:line="216" w:lineRule="exact"/>
      <w:ind w:firstLine="288"/>
      <w:jc w:val="both"/>
    </w:pPr>
    <w:rPr>
      <w:rFonts w:cs="Arial"/>
      <w:sz w:val="18"/>
      <w:szCs w:val="20"/>
      <w:lang w:val="es-ES"/>
    </w:rPr>
  </w:style>
  <w:style w:type="character" w:customStyle="1" w:styleId="TextoCar">
    <w:name w:val="Texto Car"/>
    <w:basedOn w:val="Fuentedeprrafopredeter"/>
    <w:link w:val="Texto"/>
    <w:rsid w:val="00F73F46"/>
    <w:rPr>
      <w:rFonts w:ascii="Arial" w:eastAsia="Times New Roman" w:hAnsi="Arial" w:cs="Arial"/>
      <w:sz w:val="18"/>
      <w:szCs w:val="20"/>
      <w:lang w:val="es-ES" w:eastAsia="es-ES"/>
    </w:rPr>
  </w:style>
  <w:style w:type="paragraph" w:styleId="Textonotapie">
    <w:name w:val="footnote text"/>
    <w:basedOn w:val="Normal"/>
    <w:link w:val="TextonotapieCar"/>
    <w:rsid w:val="00F73F46"/>
    <w:rPr>
      <w:sz w:val="20"/>
      <w:szCs w:val="20"/>
    </w:rPr>
  </w:style>
  <w:style w:type="character" w:customStyle="1" w:styleId="TextonotapieCar">
    <w:name w:val="Texto nota pie Car"/>
    <w:basedOn w:val="Fuentedeprrafopredeter"/>
    <w:link w:val="Textonotapie"/>
    <w:rsid w:val="00F73F46"/>
    <w:rPr>
      <w:rFonts w:ascii="Arial" w:eastAsia="Times New Roman" w:hAnsi="Arial" w:cs="Times New Roman"/>
      <w:sz w:val="20"/>
      <w:szCs w:val="20"/>
      <w:lang w:eastAsia="es-ES"/>
    </w:rPr>
  </w:style>
  <w:style w:type="character" w:styleId="Refdenotaalpie">
    <w:name w:val="footnote reference"/>
    <w:basedOn w:val="Fuentedeprrafopredeter"/>
    <w:rsid w:val="00F73F46"/>
    <w:rPr>
      <w:vertAlign w:val="superscript"/>
    </w:rPr>
  </w:style>
  <w:style w:type="paragraph" w:styleId="Textodeglobo">
    <w:name w:val="Balloon Text"/>
    <w:basedOn w:val="Normal"/>
    <w:link w:val="TextodegloboCar"/>
    <w:uiPriority w:val="99"/>
    <w:semiHidden/>
    <w:unhideWhenUsed/>
    <w:rsid w:val="00F73F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F46"/>
    <w:rPr>
      <w:rFonts w:ascii="Segoe UI" w:eastAsia="Times New Roman" w:hAnsi="Segoe UI" w:cs="Segoe UI"/>
      <w:sz w:val="18"/>
      <w:szCs w:val="18"/>
      <w:lang w:eastAsia="es-ES"/>
    </w:rPr>
  </w:style>
  <w:style w:type="paragraph" w:styleId="Revisin">
    <w:name w:val="Revision"/>
    <w:hidden/>
    <w:uiPriority w:val="99"/>
    <w:semiHidden/>
    <w:rsid w:val="00632DF8"/>
    <w:pPr>
      <w:spacing w:after="0" w:line="240" w:lineRule="auto"/>
    </w:pPr>
    <w:rPr>
      <w:rFonts w:ascii="Arial" w:eastAsia="Times New Roman" w:hAnsi="Arial" w:cs="Times New Roman"/>
      <w:sz w:val="24"/>
      <w:szCs w:val="24"/>
      <w:lang w:eastAsia="es-ES"/>
    </w:rPr>
  </w:style>
  <w:style w:type="paragraph" w:styleId="Mapadeldocumento">
    <w:name w:val="Document Map"/>
    <w:basedOn w:val="Normal"/>
    <w:link w:val="MapadeldocumentoCar"/>
    <w:semiHidden/>
    <w:rsid w:val="008D0C5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8D0C54"/>
    <w:rPr>
      <w:rFonts w:ascii="Tahoma" w:eastAsia="Times New Roman" w:hAnsi="Tahoma" w:cs="Tahoma"/>
      <w:sz w:val="20"/>
      <w:szCs w:val="20"/>
      <w:shd w:val="clear" w:color="auto" w:fill="000080"/>
      <w:lang w:eastAsia="es-ES"/>
    </w:rPr>
  </w:style>
  <w:style w:type="paragraph" w:customStyle="1" w:styleId="Default">
    <w:name w:val="Default"/>
    <w:rsid w:val="008D0C54"/>
    <w:pPr>
      <w:autoSpaceDE w:val="0"/>
      <w:autoSpaceDN w:val="0"/>
      <w:adjustRightInd w:val="0"/>
      <w:spacing w:after="0" w:line="240" w:lineRule="auto"/>
    </w:pPr>
    <w:rPr>
      <w:rFonts w:ascii="Constantia" w:eastAsia="Times New Roman" w:hAnsi="Constantia" w:cs="Constantia"/>
      <w:color w:val="000000"/>
      <w:sz w:val="24"/>
      <w:szCs w:val="24"/>
      <w:lang w:eastAsia="es-MX"/>
    </w:rPr>
  </w:style>
  <w:style w:type="paragraph" w:styleId="Prrafodelista">
    <w:name w:val="List Paragraph"/>
    <w:basedOn w:val="Normal"/>
    <w:link w:val="PrrafodelistaCar"/>
    <w:uiPriority w:val="34"/>
    <w:qFormat/>
    <w:rsid w:val="00217262"/>
    <w:pPr>
      <w:ind w:left="708"/>
    </w:pPr>
    <w:rPr>
      <w:rFonts w:ascii="Times New Roman" w:hAnsi="Times New Roman"/>
      <w:szCs w:val="20"/>
      <w:lang w:val="x-none" w:eastAsia="x-none"/>
    </w:rPr>
  </w:style>
  <w:style w:type="character" w:customStyle="1" w:styleId="PrrafodelistaCar">
    <w:name w:val="Párrafo de lista Car"/>
    <w:link w:val="Prrafodelista"/>
    <w:uiPriority w:val="34"/>
    <w:qFormat/>
    <w:locked/>
    <w:rsid w:val="00217262"/>
    <w:rPr>
      <w:rFonts w:ascii="Times New Roman" w:eastAsia="Times New Roman" w:hAnsi="Times New Roman" w:cs="Times New Roman"/>
      <w:sz w:val="24"/>
      <w:szCs w:val="20"/>
      <w:lang w:val="x-none" w:eastAsia="x-none"/>
    </w:rPr>
  </w:style>
  <w:style w:type="character" w:styleId="Refdecomentario">
    <w:name w:val="annotation reference"/>
    <w:basedOn w:val="Fuentedeprrafopredeter"/>
    <w:uiPriority w:val="99"/>
    <w:semiHidden/>
    <w:unhideWhenUsed/>
    <w:rsid w:val="0069674E"/>
    <w:rPr>
      <w:sz w:val="16"/>
      <w:szCs w:val="16"/>
    </w:rPr>
  </w:style>
  <w:style w:type="paragraph" w:styleId="Textocomentario">
    <w:name w:val="annotation text"/>
    <w:basedOn w:val="Normal"/>
    <w:link w:val="TextocomentarioCar"/>
    <w:uiPriority w:val="99"/>
    <w:semiHidden/>
    <w:unhideWhenUsed/>
    <w:rsid w:val="0069674E"/>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semiHidden/>
    <w:rsid w:val="0069674E"/>
    <w:rPr>
      <w:rFonts w:ascii="Times New Roman" w:eastAsia="Times New Roman" w:hAnsi="Times New Roman" w:cs="Times New Roman"/>
      <w:sz w:val="20"/>
      <w:szCs w:val="20"/>
      <w:lang w:val="es-ES" w:eastAsia="es-ES"/>
    </w:rPr>
  </w:style>
  <w:style w:type="paragraph" w:customStyle="1" w:styleId="k">
    <w:name w:val="k"/>
    <w:basedOn w:val="Texto"/>
    <w:qFormat/>
    <w:rsid w:val="00FB1AE1"/>
    <w:pPr>
      <w:ind w:left="1890" w:hanging="45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3797">
      <w:bodyDiv w:val="1"/>
      <w:marLeft w:val="0"/>
      <w:marRight w:val="0"/>
      <w:marTop w:val="0"/>
      <w:marBottom w:val="0"/>
      <w:divBdr>
        <w:top w:val="none" w:sz="0" w:space="0" w:color="auto"/>
        <w:left w:val="none" w:sz="0" w:space="0" w:color="auto"/>
        <w:bottom w:val="none" w:sz="0" w:space="0" w:color="auto"/>
        <w:right w:val="none" w:sz="0" w:space="0" w:color="auto"/>
      </w:divBdr>
    </w:div>
    <w:div w:id="18112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7A90B465701F4E863D45CCFE67E457" ma:contentTypeVersion="1" ma:contentTypeDescription="Crear nuevo documento." ma:contentTypeScope="" ma:versionID="42ceebb24db090149ffc79e8afca9e9f">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8725F-CD33-437F-B08F-A37D29E0C9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39ECFE-A152-427B-933C-13B65372DE81}">
  <ds:schemaRefs>
    <ds:schemaRef ds:uri="http://schemas.microsoft.com/sharepoint/v3/contenttype/forms"/>
  </ds:schemaRefs>
</ds:datastoreItem>
</file>

<file path=customXml/itemProps3.xml><?xml version="1.0" encoding="utf-8"?>
<ds:datastoreItem xmlns:ds="http://schemas.openxmlformats.org/officeDocument/2006/customXml" ds:itemID="{7D053DA2-EA91-4223-80FC-924495F8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2521</Words>
  <Characters>13866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ACNII</dc:creator>
  <cp:keywords/>
  <dc:description/>
  <cp:lastModifiedBy>ACNII</cp:lastModifiedBy>
  <cp:revision>12</cp:revision>
  <cp:lastPrinted>2017-08-14T14:02:00Z</cp:lastPrinted>
  <dcterms:created xsi:type="dcterms:W3CDTF">2017-08-24T23:27:00Z</dcterms:created>
  <dcterms:modified xsi:type="dcterms:W3CDTF">2017-08-25T16:50:00Z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0x010100397A90B465701F4E863D45CCFE67E457</vt:lpwstr>
  </property>
  <property fmtid="{D5CDD505-2E9C-101B-9397-08002B2CF9AE}" pid="3" name="Order">
    <vt:r8>225000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